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FA238F" w14:paraId="117330C6" w14:textId="77777777">
        <w:tblPrEx>
          <w:tblCellMar>
            <w:top w:w="0" w:type="dxa"/>
            <w:bottom w:w="0" w:type="dxa"/>
          </w:tblCellMar>
        </w:tblPrEx>
        <w:trPr>
          <w:tblCellSpacing w:w="60" w:type="dxa"/>
        </w:trPr>
        <w:tc>
          <w:tcPr>
            <w:tcW w:w="1200" w:type="pct"/>
            <w:shd w:val="clear" w:color="auto" w:fill="E7F0F9"/>
          </w:tcPr>
          <w:p w14:paraId="65627DCF" w14:textId="10F7B1D9" w:rsidR="00FA238F" w:rsidRDefault="004D50D8">
            <w:pPr>
              <w:spacing w:after="0" w:line="240" w:lineRule="auto"/>
            </w:pPr>
            <w:proofErr w:type="spellStart"/>
            <w:r>
              <w:rPr>
                <w:b/>
                <w:sz w:val="22"/>
                <w:szCs w:val="22"/>
              </w:rPr>
              <w:t>provje</w:t>
            </w:r>
            <w:r w:rsidR="00000000">
              <w:rPr>
                <w:b/>
              </w:rPr>
              <w:t>RKP</w:t>
            </w:r>
            <w:proofErr w:type="spellEnd"/>
            <w:r w:rsidR="00000000">
              <w:rPr>
                <w:b/>
              </w:rPr>
              <w:t xml:space="preserve"> broj</w:t>
            </w:r>
          </w:p>
        </w:tc>
        <w:tc>
          <w:tcPr>
            <w:tcW w:w="0" w:type="auto"/>
            <w:shd w:val="clear" w:color="auto" w:fill="E7F0F9"/>
          </w:tcPr>
          <w:p w14:paraId="0E814CFD" w14:textId="77777777" w:rsidR="00FA238F" w:rsidRDefault="00000000">
            <w:pPr>
              <w:spacing w:after="0" w:line="240" w:lineRule="auto"/>
            </w:pPr>
            <w:r>
              <w:t>7552</w:t>
            </w:r>
          </w:p>
        </w:tc>
      </w:tr>
      <w:tr w:rsidR="00FA238F" w14:paraId="2793AB38" w14:textId="77777777">
        <w:tblPrEx>
          <w:tblCellMar>
            <w:top w:w="0" w:type="dxa"/>
            <w:bottom w:w="0" w:type="dxa"/>
          </w:tblCellMar>
        </w:tblPrEx>
        <w:trPr>
          <w:tblCellSpacing w:w="60" w:type="dxa"/>
        </w:trPr>
        <w:tc>
          <w:tcPr>
            <w:tcW w:w="1200" w:type="pct"/>
            <w:shd w:val="clear" w:color="auto" w:fill="E7F0F9"/>
          </w:tcPr>
          <w:p w14:paraId="0B22CB83" w14:textId="77777777" w:rsidR="00FA238F" w:rsidRDefault="00000000">
            <w:pPr>
              <w:spacing w:after="0" w:line="240" w:lineRule="auto"/>
            </w:pPr>
            <w:r>
              <w:rPr>
                <w:b/>
              </w:rPr>
              <w:t>Naziv obveznika</w:t>
            </w:r>
          </w:p>
        </w:tc>
        <w:tc>
          <w:tcPr>
            <w:tcW w:w="0" w:type="auto"/>
            <w:shd w:val="clear" w:color="auto" w:fill="E7F0F9"/>
          </w:tcPr>
          <w:p w14:paraId="50E6212D" w14:textId="77777777" w:rsidR="00FA238F" w:rsidRDefault="00000000">
            <w:pPr>
              <w:spacing w:after="0" w:line="240" w:lineRule="auto"/>
            </w:pPr>
            <w:r>
              <w:t>DOM ZA STARIJE OSOBE BJELOVAR</w:t>
            </w:r>
          </w:p>
        </w:tc>
      </w:tr>
      <w:tr w:rsidR="00FA238F" w14:paraId="68D0C126" w14:textId="77777777">
        <w:tblPrEx>
          <w:tblCellMar>
            <w:top w:w="0" w:type="dxa"/>
            <w:bottom w:w="0" w:type="dxa"/>
          </w:tblCellMar>
        </w:tblPrEx>
        <w:trPr>
          <w:tblCellSpacing w:w="60" w:type="dxa"/>
        </w:trPr>
        <w:tc>
          <w:tcPr>
            <w:tcW w:w="1200" w:type="pct"/>
            <w:shd w:val="clear" w:color="auto" w:fill="E7F0F9"/>
          </w:tcPr>
          <w:p w14:paraId="671C3E16" w14:textId="77777777" w:rsidR="00FA238F" w:rsidRDefault="00000000">
            <w:pPr>
              <w:spacing w:after="0" w:line="240" w:lineRule="auto"/>
            </w:pPr>
            <w:r>
              <w:rPr>
                <w:b/>
              </w:rPr>
              <w:t>Razina</w:t>
            </w:r>
          </w:p>
        </w:tc>
        <w:tc>
          <w:tcPr>
            <w:tcW w:w="0" w:type="auto"/>
            <w:shd w:val="clear" w:color="auto" w:fill="E7F0F9"/>
          </w:tcPr>
          <w:p w14:paraId="4186BB6B" w14:textId="77777777" w:rsidR="00FA238F" w:rsidRDefault="00000000">
            <w:pPr>
              <w:spacing w:after="0" w:line="240" w:lineRule="auto"/>
            </w:pPr>
            <w:r>
              <w:t>31</w:t>
            </w:r>
          </w:p>
        </w:tc>
      </w:tr>
    </w:tbl>
    <w:p w14:paraId="2B8EC15F" w14:textId="77777777" w:rsidR="00FA238F" w:rsidRDefault="00000000">
      <w:r>
        <w:br/>
      </w:r>
    </w:p>
    <w:p w14:paraId="1E9D28F0" w14:textId="77777777" w:rsidR="00FA238F" w:rsidRDefault="00000000">
      <w:pPr>
        <w:spacing w:line="240" w:lineRule="auto"/>
        <w:jc w:val="center"/>
      </w:pPr>
      <w:r>
        <w:rPr>
          <w:b/>
          <w:sz w:val="28"/>
        </w:rPr>
        <w:t>BILJEŠKE UZ FINANCIJSKE IZVJEŠTAJE</w:t>
      </w:r>
    </w:p>
    <w:p w14:paraId="0E384759" w14:textId="77777777" w:rsidR="00FA238F" w:rsidRDefault="00000000">
      <w:pPr>
        <w:spacing w:line="240" w:lineRule="auto"/>
        <w:jc w:val="center"/>
      </w:pPr>
      <w:r>
        <w:rPr>
          <w:b/>
          <w:sz w:val="28"/>
        </w:rPr>
        <w:t>ZA RAZDOBLJE</w:t>
      </w:r>
    </w:p>
    <w:p w14:paraId="2015D1BD" w14:textId="77777777" w:rsidR="00FA238F" w:rsidRDefault="00000000">
      <w:pPr>
        <w:spacing w:line="240" w:lineRule="auto"/>
        <w:jc w:val="center"/>
      </w:pPr>
      <w:r>
        <w:rPr>
          <w:b/>
          <w:sz w:val="28"/>
        </w:rPr>
        <w:t>I - VI 2025.</w:t>
      </w:r>
    </w:p>
    <w:p w14:paraId="001C002D" w14:textId="77777777" w:rsidR="00FA238F" w:rsidRDefault="00FA238F"/>
    <w:p w14:paraId="4D3F80E2" w14:textId="77777777" w:rsidR="00FA238F" w:rsidRDefault="00000000">
      <w:pPr>
        <w:keepNext/>
        <w:spacing w:line="240" w:lineRule="auto"/>
        <w:jc w:val="center"/>
      </w:pPr>
      <w:r>
        <w:rPr>
          <w:b/>
          <w:sz w:val="28"/>
        </w:rPr>
        <w:t>Izvještaj o prihodima i rashodima, primicima i izdacima</w:t>
      </w:r>
    </w:p>
    <w:p w14:paraId="18404355" w14:textId="77777777" w:rsidR="00FA238F"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2177C4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63E4F3"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532CA6"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E4A537"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A2D857"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5265A3"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11E480" w14:textId="77777777" w:rsidR="00FA238F" w:rsidRDefault="00000000">
            <w:pPr>
              <w:keepNext/>
              <w:keepLines/>
              <w:spacing w:after="0" w:line="240" w:lineRule="auto"/>
              <w:jc w:val="center"/>
            </w:pPr>
            <w:r>
              <w:rPr>
                <w:b/>
                <w:sz w:val="18"/>
              </w:rPr>
              <w:t>Indeks (%)</w:t>
            </w:r>
          </w:p>
        </w:tc>
      </w:tr>
      <w:tr w:rsidR="00FA238F" w14:paraId="72CB4BFE" w14:textId="77777777">
        <w:tblPrEx>
          <w:tblCellMar>
            <w:top w:w="0" w:type="dxa"/>
            <w:bottom w:w="0" w:type="dxa"/>
          </w:tblCellMar>
        </w:tblPrEx>
        <w:trPr>
          <w:cantSplit/>
          <w:trHeight w:val="560"/>
        </w:trPr>
        <w:tc>
          <w:tcPr>
            <w:tcW w:w="700" w:type="dxa"/>
            <w:tcMar>
              <w:top w:w="0" w:type="dxa"/>
              <w:bottom w:w="0" w:type="dxa"/>
            </w:tcMar>
            <w:vAlign w:val="center"/>
          </w:tcPr>
          <w:p w14:paraId="0ABAB068" w14:textId="77777777" w:rsidR="00FA238F" w:rsidRDefault="00000000">
            <w:pPr>
              <w:keepNext/>
              <w:keepLines/>
              <w:spacing w:after="0" w:line="240" w:lineRule="auto"/>
            </w:pPr>
            <w:r>
              <w:rPr>
                <w:sz w:val="18"/>
              </w:rPr>
              <w:t>6</w:t>
            </w:r>
          </w:p>
        </w:tc>
        <w:tc>
          <w:tcPr>
            <w:tcW w:w="3180" w:type="dxa"/>
            <w:tcMar>
              <w:top w:w="0" w:type="dxa"/>
              <w:bottom w:w="0" w:type="dxa"/>
            </w:tcMar>
            <w:vAlign w:val="center"/>
          </w:tcPr>
          <w:p w14:paraId="370E3EF4" w14:textId="77777777" w:rsidR="00FA238F"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891E0D2" w14:textId="77777777" w:rsidR="00FA238F" w:rsidRDefault="00000000">
            <w:pPr>
              <w:keepNext/>
              <w:keepLines/>
              <w:spacing w:after="0" w:line="240" w:lineRule="auto"/>
            </w:pPr>
            <w:r>
              <w:rPr>
                <w:sz w:val="18"/>
              </w:rPr>
              <w:t>6</w:t>
            </w:r>
          </w:p>
        </w:tc>
        <w:tc>
          <w:tcPr>
            <w:tcW w:w="1860" w:type="dxa"/>
            <w:tcMar>
              <w:top w:w="0" w:type="dxa"/>
              <w:bottom w:w="0" w:type="dxa"/>
            </w:tcMar>
            <w:vAlign w:val="center"/>
          </w:tcPr>
          <w:p w14:paraId="4F6AAB62" w14:textId="77777777" w:rsidR="00FA238F" w:rsidRDefault="00000000">
            <w:pPr>
              <w:keepNext/>
              <w:keepLines/>
              <w:spacing w:after="0" w:line="240" w:lineRule="auto"/>
              <w:jc w:val="right"/>
            </w:pPr>
            <w:r>
              <w:rPr>
                <w:sz w:val="18"/>
              </w:rPr>
              <w:t>1.254.902,48</w:t>
            </w:r>
          </w:p>
        </w:tc>
        <w:tc>
          <w:tcPr>
            <w:tcW w:w="1860" w:type="dxa"/>
            <w:tcMar>
              <w:top w:w="0" w:type="dxa"/>
              <w:bottom w:w="0" w:type="dxa"/>
            </w:tcMar>
            <w:vAlign w:val="center"/>
          </w:tcPr>
          <w:p w14:paraId="4A3DB94D" w14:textId="77777777" w:rsidR="00FA238F" w:rsidRDefault="00000000">
            <w:pPr>
              <w:keepNext/>
              <w:keepLines/>
              <w:spacing w:after="0" w:line="240" w:lineRule="auto"/>
              <w:jc w:val="right"/>
            </w:pPr>
            <w:r>
              <w:rPr>
                <w:sz w:val="18"/>
              </w:rPr>
              <w:t>1.486.315,21</w:t>
            </w:r>
          </w:p>
        </w:tc>
        <w:tc>
          <w:tcPr>
            <w:tcW w:w="700" w:type="dxa"/>
            <w:tcMar>
              <w:top w:w="0" w:type="dxa"/>
              <w:bottom w:w="0" w:type="dxa"/>
            </w:tcMar>
            <w:vAlign w:val="center"/>
          </w:tcPr>
          <w:p w14:paraId="3CFA8BA0" w14:textId="77777777" w:rsidR="00FA238F" w:rsidRDefault="00000000">
            <w:pPr>
              <w:keepNext/>
              <w:keepLines/>
              <w:spacing w:after="0" w:line="240" w:lineRule="auto"/>
              <w:jc w:val="right"/>
            </w:pPr>
            <w:r>
              <w:rPr>
                <w:sz w:val="18"/>
              </w:rPr>
              <w:t>118,4</w:t>
            </w:r>
          </w:p>
        </w:tc>
      </w:tr>
      <w:tr w:rsidR="00FA238F" w14:paraId="180D7D19" w14:textId="77777777">
        <w:tblPrEx>
          <w:tblCellMar>
            <w:top w:w="0" w:type="dxa"/>
            <w:bottom w:w="0" w:type="dxa"/>
          </w:tblCellMar>
        </w:tblPrEx>
        <w:trPr>
          <w:cantSplit/>
          <w:trHeight w:val="560"/>
        </w:trPr>
        <w:tc>
          <w:tcPr>
            <w:tcW w:w="700" w:type="dxa"/>
            <w:tcMar>
              <w:top w:w="0" w:type="dxa"/>
              <w:bottom w:w="0" w:type="dxa"/>
            </w:tcMar>
            <w:vAlign w:val="center"/>
          </w:tcPr>
          <w:p w14:paraId="7C2F4B6D" w14:textId="77777777" w:rsidR="00FA238F" w:rsidRDefault="00000000">
            <w:pPr>
              <w:keepNext/>
              <w:keepLines/>
              <w:spacing w:after="0" w:line="240" w:lineRule="auto"/>
            </w:pPr>
            <w:r>
              <w:rPr>
                <w:sz w:val="18"/>
              </w:rPr>
              <w:t>3</w:t>
            </w:r>
          </w:p>
        </w:tc>
        <w:tc>
          <w:tcPr>
            <w:tcW w:w="3180" w:type="dxa"/>
            <w:tcMar>
              <w:top w:w="0" w:type="dxa"/>
              <w:bottom w:w="0" w:type="dxa"/>
            </w:tcMar>
            <w:vAlign w:val="center"/>
          </w:tcPr>
          <w:p w14:paraId="3D6D940D" w14:textId="77777777" w:rsidR="00FA238F"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FD58F84" w14:textId="77777777" w:rsidR="00FA238F" w:rsidRDefault="00000000">
            <w:pPr>
              <w:keepNext/>
              <w:keepLines/>
              <w:spacing w:after="0" w:line="240" w:lineRule="auto"/>
            </w:pPr>
            <w:r>
              <w:rPr>
                <w:sz w:val="18"/>
              </w:rPr>
              <w:t>3</w:t>
            </w:r>
          </w:p>
        </w:tc>
        <w:tc>
          <w:tcPr>
            <w:tcW w:w="1860" w:type="dxa"/>
            <w:tcMar>
              <w:top w:w="0" w:type="dxa"/>
              <w:bottom w:w="0" w:type="dxa"/>
            </w:tcMar>
            <w:vAlign w:val="center"/>
          </w:tcPr>
          <w:p w14:paraId="2EEF77CC" w14:textId="77777777" w:rsidR="00FA238F" w:rsidRDefault="00000000">
            <w:pPr>
              <w:keepNext/>
              <w:keepLines/>
              <w:spacing w:after="0" w:line="240" w:lineRule="auto"/>
              <w:jc w:val="right"/>
            </w:pPr>
            <w:r>
              <w:rPr>
                <w:sz w:val="18"/>
              </w:rPr>
              <w:t>1.215.592,26</w:t>
            </w:r>
          </w:p>
        </w:tc>
        <w:tc>
          <w:tcPr>
            <w:tcW w:w="1860" w:type="dxa"/>
            <w:tcMar>
              <w:top w:w="0" w:type="dxa"/>
              <w:bottom w:w="0" w:type="dxa"/>
            </w:tcMar>
            <w:vAlign w:val="center"/>
          </w:tcPr>
          <w:p w14:paraId="33D39378" w14:textId="77777777" w:rsidR="00FA238F" w:rsidRDefault="00000000">
            <w:pPr>
              <w:keepNext/>
              <w:keepLines/>
              <w:spacing w:after="0" w:line="240" w:lineRule="auto"/>
              <w:jc w:val="right"/>
            </w:pPr>
            <w:r>
              <w:rPr>
                <w:sz w:val="18"/>
              </w:rPr>
              <w:t>1.523.049,74</w:t>
            </w:r>
          </w:p>
        </w:tc>
        <w:tc>
          <w:tcPr>
            <w:tcW w:w="700" w:type="dxa"/>
            <w:tcMar>
              <w:top w:w="0" w:type="dxa"/>
              <w:bottom w:w="0" w:type="dxa"/>
            </w:tcMar>
            <w:vAlign w:val="center"/>
          </w:tcPr>
          <w:p w14:paraId="56CD2B93" w14:textId="77777777" w:rsidR="00FA238F" w:rsidRDefault="00000000">
            <w:pPr>
              <w:keepNext/>
              <w:keepLines/>
              <w:spacing w:after="0" w:line="240" w:lineRule="auto"/>
              <w:jc w:val="right"/>
            </w:pPr>
            <w:r>
              <w:rPr>
                <w:sz w:val="18"/>
              </w:rPr>
              <w:t>125,3</w:t>
            </w:r>
          </w:p>
        </w:tc>
      </w:tr>
      <w:tr w:rsidR="00FA238F" w14:paraId="2EEB8005" w14:textId="77777777">
        <w:tblPrEx>
          <w:tblCellMar>
            <w:top w:w="0" w:type="dxa"/>
            <w:bottom w:w="0" w:type="dxa"/>
          </w:tblCellMar>
        </w:tblPrEx>
        <w:trPr>
          <w:cantSplit/>
          <w:trHeight w:val="560"/>
        </w:trPr>
        <w:tc>
          <w:tcPr>
            <w:tcW w:w="700" w:type="dxa"/>
            <w:tcMar>
              <w:top w:w="0" w:type="dxa"/>
              <w:bottom w:w="0" w:type="dxa"/>
            </w:tcMar>
            <w:vAlign w:val="center"/>
          </w:tcPr>
          <w:p w14:paraId="5884E1A0" w14:textId="77777777" w:rsidR="00FA238F" w:rsidRDefault="00FA238F">
            <w:pPr>
              <w:keepNext/>
              <w:keepLines/>
              <w:spacing w:after="0" w:line="240" w:lineRule="auto"/>
            </w:pPr>
          </w:p>
        </w:tc>
        <w:tc>
          <w:tcPr>
            <w:tcW w:w="3180" w:type="dxa"/>
            <w:tcMar>
              <w:top w:w="0" w:type="dxa"/>
              <w:bottom w:w="0" w:type="dxa"/>
            </w:tcMar>
            <w:vAlign w:val="center"/>
          </w:tcPr>
          <w:p w14:paraId="7CD0A424" w14:textId="77777777" w:rsidR="00FA238F"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6B36044B" w14:textId="77777777" w:rsidR="00FA238F" w:rsidRDefault="00000000">
            <w:pPr>
              <w:keepNext/>
              <w:keepLines/>
              <w:spacing w:after="0" w:line="240" w:lineRule="auto"/>
            </w:pPr>
            <w:r>
              <w:rPr>
                <w:b/>
                <w:sz w:val="18"/>
              </w:rPr>
              <w:t>Y001</w:t>
            </w:r>
          </w:p>
        </w:tc>
        <w:tc>
          <w:tcPr>
            <w:tcW w:w="1860" w:type="dxa"/>
            <w:tcMar>
              <w:top w:w="0" w:type="dxa"/>
              <w:bottom w:w="0" w:type="dxa"/>
            </w:tcMar>
            <w:vAlign w:val="center"/>
          </w:tcPr>
          <w:p w14:paraId="124F9DF8" w14:textId="77777777" w:rsidR="00FA238F" w:rsidRDefault="00000000">
            <w:pPr>
              <w:keepNext/>
              <w:keepLines/>
              <w:spacing w:after="0" w:line="240" w:lineRule="auto"/>
              <w:jc w:val="right"/>
            </w:pPr>
            <w:r>
              <w:rPr>
                <w:b/>
                <w:sz w:val="18"/>
              </w:rPr>
              <w:t>0,00</w:t>
            </w:r>
          </w:p>
        </w:tc>
        <w:tc>
          <w:tcPr>
            <w:tcW w:w="1860" w:type="dxa"/>
            <w:tcMar>
              <w:top w:w="0" w:type="dxa"/>
              <w:bottom w:w="0" w:type="dxa"/>
            </w:tcMar>
            <w:vAlign w:val="center"/>
          </w:tcPr>
          <w:p w14:paraId="136BFC27" w14:textId="77777777" w:rsidR="00FA238F" w:rsidRDefault="00000000">
            <w:pPr>
              <w:keepNext/>
              <w:keepLines/>
              <w:spacing w:after="0" w:line="240" w:lineRule="auto"/>
              <w:jc w:val="right"/>
            </w:pPr>
            <w:r>
              <w:rPr>
                <w:b/>
                <w:sz w:val="18"/>
              </w:rPr>
              <w:t>36.734,53</w:t>
            </w:r>
          </w:p>
        </w:tc>
        <w:tc>
          <w:tcPr>
            <w:tcW w:w="700" w:type="dxa"/>
            <w:tcMar>
              <w:top w:w="0" w:type="dxa"/>
              <w:bottom w:w="0" w:type="dxa"/>
            </w:tcMar>
            <w:vAlign w:val="center"/>
          </w:tcPr>
          <w:p w14:paraId="30B51B77" w14:textId="77777777" w:rsidR="00FA238F" w:rsidRDefault="00000000">
            <w:pPr>
              <w:keepNext/>
              <w:keepLines/>
              <w:spacing w:after="0" w:line="240" w:lineRule="auto"/>
              <w:jc w:val="right"/>
            </w:pPr>
            <w:r>
              <w:rPr>
                <w:b/>
                <w:sz w:val="18"/>
              </w:rPr>
              <w:t>-</w:t>
            </w:r>
          </w:p>
        </w:tc>
      </w:tr>
      <w:tr w:rsidR="00FA238F" w14:paraId="69C0A2E2" w14:textId="77777777">
        <w:tblPrEx>
          <w:tblCellMar>
            <w:top w:w="0" w:type="dxa"/>
            <w:bottom w:w="0" w:type="dxa"/>
          </w:tblCellMar>
        </w:tblPrEx>
        <w:trPr>
          <w:cantSplit/>
          <w:trHeight w:val="560"/>
        </w:trPr>
        <w:tc>
          <w:tcPr>
            <w:tcW w:w="700" w:type="dxa"/>
            <w:tcMar>
              <w:top w:w="0" w:type="dxa"/>
              <w:bottom w:w="0" w:type="dxa"/>
            </w:tcMar>
            <w:vAlign w:val="center"/>
          </w:tcPr>
          <w:p w14:paraId="1B9B06DA" w14:textId="77777777" w:rsidR="00FA238F" w:rsidRDefault="00000000">
            <w:pPr>
              <w:keepNext/>
              <w:keepLines/>
              <w:spacing w:after="0" w:line="240" w:lineRule="auto"/>
            </w:pPr>
            <w:r>
              <w:rPr>
                <w:sz w:val="18"/>
              </w:rPr>
              <w:t>7</w:t>
            </w:r>
          </w:p>
        </w:tc>
        <w:tc>
          <w:tcPr>
            <w:tcW w:w="3180" w:type="dxa"/>
            <w:tcMar>
              <w:top w:w="0" w:type="dxa"/>
              <w:bottom w:w="0" w:type="dxa"/>
            </w:tcMar>
            <w:vAlign w:val="center"/>
          </w:tcPr>
          <w:p w14:paraId="2562942A" w14:textId="77777777" w:rsidR="00FA238F"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1DAE739" w14:textId="77777777" w:rsidR="00FA238F" w:rsidRDefault="00000000">
            <w:pPr>
              <w:keepNext/>
              <w:keepLines/>
              <w:spacing w:after="0" w:line="240" w:lineRule="auto"/>
            </w:pPr>
            <w:r>
              <w:rPr>
                <w:sz w:val="18"/>
              </w:rPr>
              <w:t>7</w:t>
            </w:r>
          </w:p>
        </w:tc>
        <w:tc>
          <w:tcPr>
            <w:tcW w:w="1860" w:type="dxa"/>
            <w:tcMar>
              <w:top w:w="0" w:type="dxa"/>
              <w:bottom w:w="0" w:type="dxa"/>
            </w:tcMar>
            <w:vAlign w:val="center"/>
          </w:tcPr>
          <w:p w14:paraId="55E558FC" w14:textId="77777777" w:rsidR="00FA238F" w:rsidRDefault="00000000">
            <w:pPr>
              <w:keepNext/>
              <w:keepLines/>
              <w:spacing w:after="0" w:line="240" w:lineRule="auto"/>
              <w:jc w:val="right"/>
            </w:pPr>
            <w:r>
              <w:rPr>
                <w:sz w:val="18"/>
              </w:rPr>
              <w:t>0,00</w:t>
            </w:r>
          </w:p>
        </w:tc>
        <w:tc>
          <w:tcPr>
            <w:tcW w:w="1860" w:type="dxa"/>
            <w:tcMar>
              <w:top w:w="0" w:type="dxa"/>
              <w:bottom w:w="0" w:type="dxa"/>
            </w:tcMar>
            <w:vAlign w:val="center"/>
          </w:tcPr>
          <w:p w14:paraId="5A93AF3C" w14:textId="77777777" w:rsidR="00FA238F" w:rsidRDefault="00000000">
            <w:pPr>
              <w:keepNext/>
              <w:keepLines/>
              <w:spacing w:after="0" w:line="240" w:lineRule="auto"/>
              <w:jc w:val="right"/>
            </w:pPr>
            <w:r>
              <w:rPr>
                <w:sz w:val="18"/>
              </w:rPr>
              <w:t>1.530,00</w:t>
            </w:r>
          </w:p>
        </w:tc>
        <w:tc>
          <w:tcPr>
            <w:tcW w:w="700" w:type="dxa"/>
            <w:tcMar>
              <w:top w:w="0" w:type="dxa"/>
              <w:bottom w:w="0" w:type="dxa"/>
            </w:tcMar>
            <w:vAlign w:val="center"/>
          </w:tcPr>
          <w:p w14:paraId="6EB67C04" w14:textId="77777777" w:rsidR="00FA238F" w:rsidRDefault="00000000">
            <w:pPr>
              <w:keepNext/>
              <w:keepLines/>
              <w:spacing w:after="0" w:line="240" w:lineRule="auto"/>
              <w:jc w:val="right"/>
            </w:pPr>
            <w:r>
              <w:rPr>
                <w:sz w:val="18"/>
              </w:rPr>
              <w:t>-</w:t>
            </w:r>
          </w:p>
        </w:tc>
      </w:tr>
      <w:tr w:rsidR="00FA238F" w14:paraId="52C21E57" w14:textId="77777777">
        <w:tblPrEx>
          <w:tblCellMar>
            <w:top w:w="0" w:type="dxa"/>
            <w:bottom w:w="0" w:type="dxa"/>
          </w:tblCellMar>
        </w:tblPrEx>
        <w:trPr>
          <w:cantSplit/>
          <w:trHeight w:val="560"/>
        </w:trPr>
        <w:tc>
          <w:tcPr>
            <w:tcW w:w="700" w:type="dxa"/>
            <w:tcMar>
              <w:top w:w="0" w:type="dxa"/>
              <w:bottom w:w="0" w:type="dxa"/>
            </w:tcMar>
            <w:vAlign w:val="center"/>
          </w:tcPr>
          <w:p w14:paraId="1E3594A4" w14:textId="77777777" w:rsidR="00FA238F" w:rsidRDefault="00000000">
            <w:pPr>
              <w:keepNext/>
              <w:keepLines/>
              <w:spacing w:after="0" w:line="240" w:lineRule="auto"/>
            </w:pPr>
            <w:r>
              <w:rPr>
                <w:sz w:val="18"/>
              </w:rPr>
              <w:t>4</w:t>
            </w:r>
          </w:p>
        </w:tc>
        <w:tc>
          <w:tcPr>
            <w:tcW w:w="3180" w:type="dxa"/>
            <w:tcMar>
              <w:top w:w="0" w:type="dxa"/>
              <w:bottom w:w="0" w:type="dxa"/>
            </w:tcMar>
            <w:vAlign w:val="center"/>
          </w:tcPr>
          <w:p w14:paraId="08941792" w14:textId="77777777" w:rsidR="00FA238F"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458F429" w14:textId="77777777" w:rsidR="00FA238F" w:rsidRDefault="00000000">
            <w:pPr>
              <w:keepNext/>
              <w:keepLines/>
              <w:spacing w:after="0" w:line="240" w:lineRule="auto"/>
            </w:pPr>
            <w:r>
              <w:rPr>
                <w:sz w:val="18"/>
              </w:rPr>
              <w:t>4</w:t>
            </w:r>
          </w:p>
        </w:tc>
        <w:tc>
          <w:tcPr>
            <w:tcW w:w="1860" w:type="dxa"/>
            <w:tcMar>
              <w:top w:w="0" w:type="dxa"/>
              <w:bottom w:w="0" w:type="dxa"/>
            </w:tcMar>
            <w:vAlign w:val="center"/>
          </w:tcPr>
          <w:p w14:paraId="539BA49B" w14:textId="77777777" w:rsidR="00FA238F" w:rsidRDefault="00000000">
            <w:pPr>
              <w:keepNext/>
              <w:keepLines/>
              <w:spacing w:after="0" w:line="240" w:lineRule="auto"/>
              <w:jc w:val="right"/>
            </w:pPr>
            <w:r>
              <w:rPr>
                <w:sz w:val="18"/>
              </w:rPr>
              <w:t>11.669,13</w:t>
            </w:r>
          </w:p>
        </w:tc>
        <w:tc>
          <w:tcPr>
            <w:tcW w:w="1860" w:type="dxa"/>
            <w:tcMar>
              <w:top w:w="0" w:type="dxa"/>
              <w:bottom w:w="0" w:type="dxa"/>
            </w:tcMar>
            <w:vAlign w:val="center"/>
          </w:tcPr>
          <w:p w14:paraId="1506B4BD" w14:textId="77777777" w:rsidR="00FA238F" w:rsidRDefault="00000000">
            <w:pPr>
              <w:keepNext/>
              <w:keepLines/>
              <w:spacing w:after="0" w:line="240" w:lineRule="auto"/>
              <w:jc w:val="right"/>
            </w:pPr>
            <w:r>
              <w:rPr>
                <w:sz w:val="18"/>
              </w:rPr>
              <w:t>56.731,01</w:t>
            </w:r>
          </w:p>
        </w:tc>
        <w:tc>
          <w:tcPr>
            <w:tcW w:w="700" w:type="dxa"/>
            <w:tcMar>
              <w:top w:w="0" w:type="dxa"/>
              <w:bottom w:w="0" w:type="dxa"/>
            </w:tcMar>
            <w:vAlign w:val="center"/>
          </w:tcPr>
          <w:p w14:paraId="3D5075C0" w14:textId="77777777" w:rsidR="00FA238F" w:rsidRDefault="00000000">
            <w:pPr>
              <w:keepNext/>
              <w:keepLines/>
              <w:spacing w:after="0" w:line="240" w:lineRule="auto"/>
              <w:jc w:val="right"/>
            </w:pPr>
            <w:r>
              <w:rPr>
                <w:sz w:val="18"/>
              </w:rPr>
              <w:t>486,2</w:t>
            </w:r>
          </w:p>
        </w:tc>
      </w:tr>
      <w:tr w:rsidR="00FA238F" w14:paraId="448256BF" w14:textId="77777777">
        <w:tblPrEx>
          <w:tblCellMar>
            <w:top w:w="0" w:type="dxa"/>
            <w:bottom w:w="0" w:type="dxa"/>
          </w:tblCellMar>
        </w:tblPrEx>
        <w:trPr>
          <w:cantSplit/>
          <w:trHeight w:val="560"/>
        </w:trPr>
        <w:tc>
          <w:tcPr>
            <w:tcW w:w="700" w:type="dxa"/>
            <w:tcMar>
              <w:top w:w="0" w:type="dxa"/>
              <w:bottom w:w="0" w:type="dxa"/>
            </w:tcMar>
            <w:vAlign w:val="center"/>
          </w:tcPr>
          <w:p w14:paraId="7C12D667" w14:textId="77777777" w:rsidR="00FA238F" w:rsidRDefault="00FA238F">
            <w:pPr>
              <w:keepNext/>
              <w:keepLines/>
              <w:spacing w:after="0" w:line="240" w:lineRule="auto"/>
            </w:pPr>
          </w:p>
        </w:tc>
        <w:tc>
          <w:tcPr>
            <w:tcW w:w="3180" w:type="dxa"/>
            <w:tcMar>
              <w:top w:w="0" w:type="dxa"/>
              <w:bottom w:w="0" w:type="dxa"/>
            </w:tcMar>
            <w:vAlign w:val="center"/>
          </w:tcPr>
          <w:p w14:paraId="79B835B6" w14:textId="77777777" w:rsidR="00FA238F"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AF1708B" w14:textId="77777777" w:rsidR="00FA238F" w:rsidRDefault="00000000">
            <w:pPr>
              <w:keepNext/>
              <w:keepLines/>
              <w:spacing w:after="0" w:line="240" w:lineRule="auto"/>
            </w:pPr>
            <w:r>
              <w:rPr>
                <w:b/>
                <w:sz w:val="18"/>
              </w:rPr>
              <w:t>Y002</w:t>
            </w:r>
          </w:p>
        </w:tc>
        <w:tc>
          <w:tcPr>
            <w:tcW w:w="1860" w:type="dxa"/>
            <w:tcMar>
              <w:top w:w="0" w:type="dxa"/>
              <w:bottom w:w="0" w:type="dxa"/>
            </w:tcMar>
            <w:vAlign w:val="center"/>
          </w:tcPr>
          <w:p w14:paraId="0B774DDB" w14:textId="77777777" w:rsidR="00FA238F" w:rsidRDefault="00000000">
            <w:pPr>
              <w:keepNext/>
              <w:keepLines/>
              <w:spacing w:after="0" w:line="240" w:lineRule="auto"/>
              <w:jc w:val="right"/>
            </w:pPr>
            <w:r>
              <w:rPr>
                <w:b/>
                <w:sz w:val="18"/>
              </w:rPr>
              <w:t>11.669,13</w:t>
            </w:r>
          </w:p>
        </w:tc>
        <w:tc>
          <w:tcPr>
            <w:tcW w:w="1860" w:type="dxa"/>
            <w:tcMar>
              <w:top w:w="0" w:type="dxa"/>
              <w:bottom w:w="0" w:type="dxa"/>
            </w:tcMar>
            <w:vAlign w:val="center"/>
          </w:tcPr>
          <w:p w14:paraId="7AF2775D" w14:textId="77777777" w:rsidR="00FA238F" w:rsidRDefault="00000000">
            <w:pPr>
              <w:keepNext/>
              <w:keepLines/>
              <w:spacing w:after="0" w:line="240" w:lineRule="auto"/>
              <w:jc w:val="right"/>
            </w:pPr>
            <w:r>
              <w:rPr>
                <w:b/>
                <w:sz w:val="18"/>
              </w:rPr>
              <w:t>55.201,01</w:t>
            </w:r>
          </w:p>
        </w:tc>
        <w:tc>
          <w:tcPr>
            <w:tcW w:w="700" w:type="dxa"/>
            <w:tcMar>
              <w:top w:w="0" w:type="dxa"/>
              <w:bottom w:w="0" w:type="dxa"/>
            </w:tcMar>
            <w:vAlign w:val="center"/>
          </w:tcPr>
          <w:p w14:paraId="42DA1C74" w14:textId="77777777" w:rsidR="00FA238F" w:rsidRDefault="00000000">
            <w:pPr>
              <w:keepNext/>
              <w:keepLines/>
              <w:spacing w:after="0" w:line="240" w:lineRule="auto"/>
              <w:jc w:val="right"/>
            </w:pPr>
            <w:r>
              <w:rPr>
                <w:b/>
                <w:sz w:val="18"/>
              </w:rPr>
              <w:t>473,1</w:t>
            </w:r>
          </w:p>
        </w:tc>
      </w:tr>
      <w:tr w:rsidR="00FA238F" w14:paraId="7723CDAE" w14:textId="77777777">
        <w:tblPrEx>
          <w:tblCellMar>
            <w:top w:w="0" w:type="dxa"/>
            <w:bottom w:w="0" w:type="dxa"/>
          </w:tblCellMar>
        </w:tblPrEx>
        <w:trPr>
          <w:cantSplit/>
          <w:trHeight w:val="560"/>
        </w:trPr>
        <w:tc>
          <w:tcPr>
            <w:tcW w:w="700" w:type="dxa"/>
            <w:tcMar>
              <w:top w:w="0" w:type="dxa"/>
              <w:bottom w:w="0" w:type="dxa"/>
            </w:tcMar>
            <w:vAlign w:val="center"/>
          </w:tcPr>
          <w:p w14:paraId="5746B799" w14:textId="77777777" w:rsidR="00FA238F" w:rsidRDefault="00000000">
            <w:pPr>
              <w:keepNext/>
              <w:keepLines/>
              <w:spacing w:after="0" w:line="240" w:lineRule="auto"/>
            </w:pPr>
            <w:r>
              <w:rPr>
                <w:sz w:val="18"/>
              </w:rPr>
              <w:t>8</w:t>
            </w:r>
          </w:p>
        </w:tc>
        <w:tc>
          <w:tcPr>
            <w:tcW w:w="3180" w:type="dxa"/>
            <w:tcMar>
              <w:top w:w="0" w:type="dxa"/>
              <w:bottom w:w="0" w:type="dxa"/>
            </w:tcMar>
            <w:vAlign w:val="center"/>
          </w:tcPr>
          <w:p w14:paraId="4EFE5D18" w14:textId="77777777" w:rsidR="00FA238F"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F464CDF" w14:textId="77777777" w:rsidR="00FA238F" w:rsidRDefault="00000000">
            <w:pPr>
              <w:keepNext/>
              <w:keepLines/>
              <w:spacing w:after="0" w:line="240" w:lineRule="auto"/>
            </w:pPr>
            <w:r>
              <w:rPr>
                <w:sz w:val="18"/>
              </w:rPr>
              <w:t>8</w:t>
            </w:r>
          </w:p>
        </w:tc>
        <w:tc>
          <w:tcPr>
            <w:tcW w:w="1860" w:type="dxa"/>
            <w:tcMar>
              <w:top w:w="0" w:type="dxa"/>
              <w:bottom w:w="0" w:type="dxa"/>
            </w:tcMar>
            <w:vAlign w:val="center"/>
          </w:tcPr>
          <w:p w14:paraId="16FFB0C0" w14:textId="77777777" w:rsidR="00FA238F" w:rsidRDefault="00000000">
            <w:pPr>
              <w:keepNext/>
              <w:keepLines/>
              <w:spacing w:after="0" w:line="240" w:lineRule="auto"/>
              <w:jc w:val="right"/>
            </w:pPr>
            <w:r>
              <w:rPr>
                <w:sz w:val="18"/>
              </w:rPr>
              <w:t>0,00</w:t>
            </w:r>
          </w:p>
        </w:tc>
        <w:tc>
          <w:tcPr>
            <w:tcW w:w="1860" w:type="dxa"/>
            <w:tcMar>
              <w:top w:w="0" w:type="dxa"/>
              <w:bottom w:w="0" w:type="dxa"/>
            </w:tcMar>
            <w:vAlign w:val="center"/>
          </w:tcPr>
          <w:p w14:paraId="6A2C6FE4" w14:textId="77777777" w:rsidR="00FA238F" w:rsidRDefault="00000000">
            <w:pPr>
              <w:keepNext/>
              <w:keepLines/>
              <w:spacing w:after="0" w:line="240" w:lineRule="auto"/>
              <w:jc w:val="right"/>
            </w:pPr>
            <w:r>
              <w:rPr>
                <w:sz w:val="18"/>
              </w:rPr>
              <w:t>0,00</w:t>
            </w:r>
          </w:p>
        </w:tc>
        <w:tc>
          <w:tcPr>
            <w:tcW w:w="700" w:type="dxa"/>
            <w:tcMar>
              <w:top w:w="0" w:type="dxa"/>
              <w:bottom w:w="0" w:type="dxa"/>
            </w:tcMar>
            <w:vAlign w:val="center"/>
          </w:tcPr>
          <w:p w14:paraId="45CD7C3B" w14:textId="77777777" w:rsidR="00FA238F" w:rsidRDefault="00000000">
            <w:pPr>
              <w:keepNext/>
              <w:keepLines/>
              <w:spacing w:after="0" w:line="240" w:lineRule="auto"/>
              <w:jc w:val="right"/>
            </w:pPr>
            <w:r>
              <w:rPr>
                <w:sz w:val="18"/>
              </w:rPr>
              <w:t>-</w:t>
            </w:r>
          </w:p>
        </w:tc>
      </w:tr>
      <w:tr w:rsidR="00FA238F" w14:paraId="7F167F36" w14:textId="77777777">
        <w:tblPrEx>
          <w:tblCellMar>
            <w:top w:w="0" w:type="dxa"/>
            <w:bottom w:w="0" w:type="dxa"/>
          </w:tblCellMar>
        </w:tblPrEx>
        <w:trPr>
          <w:cantSplit/>
          <w:trHeight w:val="560"/>
        </w:trPr>
        <w:tc>
          <w:tcPr>
            <w:tcW w:w="700" w:type="dxa"/>
            <w:tcMar>
              <w:top w:w="0" w:type="dxa"/>
              <w:bottom w:w="0" w:type="dxa"/>
            </w:tcMar>
            <w:vAlign w:val="center"/>
          </w:tcPr>
          <w:p w14:paraId="33967BC8" w14:textId="77777777" w:rsidR="00FA238F" w:rsidRDefault="00000000">
            <w:pPr>
              <w:keepNext/>
              <w:keepLines/>
              <w:spacing w:after="0" w:line="240" w:lineRule="auto"/>
            </w:pPr>
            <w:r>
              <w:rPr>
                <w:sz w:val="18"/>
              </w:rPr>
              <w:t>5</w:t>
            </w:r>
          </w:p>
        </w:tc>
        <w:tc>
          <w:tcPr>
            <w:tcW w:w="3180" w:type="dxa"/>
            <w:tcMar>
              <w:top w:w="0" w:type="dxa"/>
              <w:bottom w:w="0" w:type="dxa"/>
            </w:tcMar>
            <w:vAlign w:val="center"/>
          </w:tcPr>
          <w:p w14:paraId="2F176CF7" w14:textId="77777777" w:rsidR="00FA238F"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0BC1A3F" w14:textId="77777777" w:rsidR="00FA238F" w:rsidRDefault="00000000">
            <w:pPr>
              <w:keepNext/>
              <w:keepLines/>
              <w:spacing w:after="0" w:line="240" w:lineRule="auto"/>
            </w:pPr>
            <w:r>
              <w:rPr>
                <w:sz w:val="18"/>
              </w:rPr>
              <w:t>5</w:t>
            </w:r>
          </w:p>
        </w:tc>
        <w:tc>
          <w:tcPr>
            <w:tcW w:w="1860" w:type="dxa"/>
            <w:tcMar>
              <w:top w:w="0" w:type="dxa"/>
              <w:bottom w:w="0" w:type="dxa"/>
            </w:tcMar>
            <w:vAlign w:val="center"/>
          </w:tcPr>
          <w:p w14:paraId="3B47A68C" w14:textId="77777777" w:rsidR="00FA238F" w:rsidRDefault="00000000">
            <w:pPr>
              <w:keepNext/>
              <w:keepLines/>
              <w:spacing w:after="0" w:line="240" w:lineRule="auto"/>
              <w:jc w:val="right"/>
            </w:pPr>
            <w:r>
              <w:rPr>
                <w:sz w:val="18"/>
              </w:rPr>
              <w:t>17.253,96</w:t>
            </w:r>
          </w:p>
        </w:tc>
        <w:tc>
          <w:tcPr>
            <w:tcW w:w="1860" w:type="dxa"/>
            <w:tcMar>
              <w:top w:w="0" w:type="dxa"/>
              <w:bottom w:w="0" w:type="dxa"/>
            </w:tcMar>
            <w:vAlign w:val="center"/>
          </w:tcPr>
          <w:p w14:paraId="46CD2386" w14:textId="77777777" w:rsidR="00FA238F" w:rsidRDefault="00000000">
            <w:pPr>
              <w:keepNext/>
              <w:keepLines/>
              <w:spacing w:after="0" w:line="240" w:lineRule="auto"/>
              <w:jc w:val="right"/>
            </w:pPr>
            <w:r>
              <w:rPr>
                <w:sz w:val="18"/>
              </w:rPr>
              <w:t>17.253,96</w:t>
            </w:r>
          </w:p>
        </w:tc>
        <w:tc>
          <w:tcPr>
            <w:tcW w:w="700" w:type="dxa"/>
            <w:tcMar>
              <w:top w:w="0" w:type="dxa"/>
              <w:bottom w:w="0" w:type="dxa"/>
            </w:tcMar>
            <w:vAlign w:val="center"/>
          </w:tcPr>
          <w:p w14:paraId="46D89D47" w14:textId="77777777" w:rsidR="00FA238F" w:rsidRDefault="00000000">
            <w:pPr>
              <w:keepNext/>
              <w:keepLines/>
              <w:spacing w:after="0" w:line="240" w:lineRule="auto"/>
              <w:jc w:val="right"/>
            </w:pPr>
            <w:r>
              <w:rPr>
                <w:sz w:val="18"/>
              </w:rPr>
              <w:t>100</w:t>
            </w:r>
          </w:p>
        </w:tc>
      </w:tr>
      <w:tr w:rsidR="00FA238F" w14:paraId="3EAB9A37" w14:textId="77777777">
        <w:tblPrEx>
          <w:tblCellMar>
            <w:top w:w="0" w:type="dxa"/>
            <w:bottom w:w="0" w:type="dxa"/>
          </w:tblCellMar>
        </w:tblPrEx>
        <w:trPr>
          <w:cantSplit/>
          <w:trHeight w:val="560"/>
        </w:trPr>
        <w:tc>
          <w:tcPr>
            <w:tcW w:w="700" w:type="dxa"/>
            <w:tcMar>
              <w:top w:w="0" w:type="dxa"/>
              <w:bottom w:w="0" w:type="dxa"/>
            </w:tcMar>
            <w:vAlign w:val="center"/>
          </w:tcPr>
          <w:p w14:paraId="1D1B3354" w14:textId="77777777" w:rsidR="00FA238F" w:rsidRDefault="00FA238F">
            <w:pPr>
              <w:keepNext/>
              <w:keepLines/>
              <w:spacing w:after="0" w:line="240" w:lineRule="auto"/>
            </w:pPr>
          </w:p>
        </w:tc>
        <w:tc>
          <w:tcPr>
            <w:tcW w:w="3180" w:type="dxa"/>
            <w:tcMar>
              <w:top w:w="0" w:type="dxa"/>
              <w:bottom w:w="0" w:type="dxa"/>
            </w:tcMar>
            <w:vAlign w:val="center"/>
          </w:tcPr>
          <w:p w14:paraId="378CE8F8" w14:textId="77777777" w:rsidR="00FA238F"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33D24890" w14:textId="77777777" w:rsidR="00FA238F" w:rsidRDefault="00000000">
            <w:pPr>
              <w:keepNext/>
              <w:keepLines/>
              <w:spacing w:after="0" w:line="240" w:lineRule="auto"/>
            </w:pPr>
            <w:r>
              <w:rPr>
                <w:b/>
                <w:sz w:val="18"/>
              </w:rPr>
              <w:t>Y003</w:t>
            </w:r>
          </w:p>
        </w:tc>
        <w:tc>
          <w:tcPr>
            <w:tcW w:w="1860" w:type="dxa"/>
            <w:tcMar>
              <w:top w:w="0" w:type="dxa"/>
              <w:bottom w:w="0" w:type="dxa"/>
            </w:tcMar>
            <w:vAlign w:val="center"/>
          </w:tcPr>
          <w:p w14:paraId="25368751" w14:textId="77777777" w:rsidR="00FA238F" w:rsidRDefault="00000000">
            <w:pPr>
              <w:keepNext/>
              <w:keepLines/>
              <w:spacing w:after="0" w:line="240" w:lineRule="auto"/>
              <w:jc w:val="right"/>
            </w:pPr>
            <w:r>
              <w:rPr>
                <w:b/>
                <w:sz w:val="18"/>
              </w:rPr>
              <w:t>17.253,96</w:t>
            </w:r>
          </w:p>
        </w:tc>
        <w:tc>
          <w:tcPr>
            <w:tcW w:w="1860" w:type="dxa"/>
            <w:tcMar>
              <w:top w:w="0" w:type="dxa"/>
              <w:bottom w:w="0" w:type="dxa"/>
            </w:tcMar>
            <w:vAlign w:val="center"/>
          </w:tcPr>
          <w:p w14:paraId="37F20172" w14:textId="77777777" w:rsidR="00FA238F" w:rsidRDefault="00000000">
            <w:pPr>
              <w:keepNext/>
              <w:keepLines/>
              <w:spacing w:after="0" w:line="240" w:lineRule="auto"/>
              <w:jc w:val="right"/>
            </w:pPr>
            <w:r>
              <w:rPr>
                <w:b/>
                <w:sz w:val="18"/>
              </w:rPr>
              <w:t>17.253,96</w:t>
            </w:r>
          </w:p>
        </w:tc>
        <w:tc>
          <w:tcPr>
            <w:tcW w:w="700" w:type="dxa"/>
            <w:tcMar>
              <w:top w:w="0" w:type="dxa"/>
              <w:bottom w:w="0" w:type="dxa"/>
            </w:tcMar>
            <w:vAlign w:val="center"/>
          </w:tcPr>
          <w:p w14:paraId="5A2E5624" w14:textId="77777777" w:rsidR="00FA238F" w:rsidRDefault="00000000">
            <w:pPr>
              <w:keepNext/>
              <w:keepLines/>
              <w:spacing w:after="0" w:line="240" w:lineRule="auto"/>
              <w:jc w:val="right"/>
            </w:pPr>
            <w:r>
              <w:rPr>
                <w:b/>
                <w:sz w:val="18"/>
              </w:rPr>
              <w:t>100</w:t>
            </w:r>
          </w:p>
        </w:tc>
      </w:tr>
      <w:tr w:rsidR="00FA238F" w14:paraId="26FF0E9E" w14:textId="77777777">
        <w:tblPrEx>
          <w:tblCellMar>
            <w:top w:w="0" w:type="dxa"/>
            <w:bottom w:w="0" w:type="dxa"/>
          </w:tblCellMar>
        </w:tblPrEx>
        <w:trPr>
          <w:cantSplit/>
          <w:trHeight w:val="560"/>
        </w:trPr>
        <w:tc>
          <w:tcPr>
            <w:tcW w:w="700" w:type="dxa"/>
            <w:tcMar>
              <w:top w:w="0" w:type="dxa"/>
              <w:bottom w:w="0" w:type="dxa"/>
            </w:tcMar>
            <w:vAlign w:val="center"/>
          </w:tcPr>
          <w:p w14:paraId="5848027A" w14:textId="77777777" w:rsidR="00FA238F" w:rsidRDefault="00FA238F">
            <w:pPr>
              <w:keepNext/>
              <w:keepLines/>
              <w:spacing w:after="0" w:line="240" w:lineRule="auto"/>
            </w:pPr>
          </w:p>
        </w:tc>
        <w:tc>
          <w:tcPr>
            <w:tcW w:w="3180" w:type="dxa"/>
            <w:tcMar>
              <w:top w:w="0" w:type="dxa"/>
              <w:bottom w:w="0" w:type="dxa"/>
            </w:tcMar>
            <w:vAlign w:val="center"/>
          </w:tcPr>
          <w:p w14:paraId="5D93DBA2" w14:textId="77777777" w:rsidR="00FA238F"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0C5DC37A" w14:textId="77777777" w:rsidR="00FA238F" w:rsidRDefault="00000000">
            <w:pPr>
              <w:keepNext/>
              <w:keepLines/>
              <w:spacing w:after="0" w:line="240" w:lineRule="auto"/>
            </w:pPr>
            <w:r>
              <w:rPr>
                <w:b/>
                <w:sz w:val="18"/>
              </w:rPr>
              <w:t>Y005</w:t>
            </w:r>
          </w:p>
        </w:tc>
        <w:tc>
          <w:tcPr>
            <w:tcW w:w="1860" w:type="dxa"/>
            <w:tcMar>
              <w:top w:w="0" w:type="dxa"/>
              <w:bottom w:w="0" w:type="dxa"/>
            </w:tcMar>
            <w:vAlign w:val="center"/>
          </w:tcPr>
          <w:p w14:paraId="0420C8D6" w14:textId="77777777" w:rsidR="00FA238F" w:rsidRDefault="00000000">
            <w:pPr>
              <w:keepNext/>
              <w:keepLines/>
              <w:spacing w:after="0" w:line="240" w:lineRule="auto"/>
              <w:jc w:val="right"/>
            </w:pPr>
            <w:r>
              <w:rPr>
                <w:b/>
                <w:sz w:val="18"/>
              </w:rPr>
              <w:t>0,00</w:t>
            </w:r>
          </w:p>
        </w:tc>
        <w:tc>
          <w:tcPr>
            <w:tcW w:w="1860" w:type="dxa"/>
            <w:tcMar>
              <w:top w:w="0" w:type="dxa"/>
              <w:bottom w:w="0" w:type="dxa"/>
            </w:tcMar>
            <w:vAlign w:val="center"/>
          </w:tcPr>
          <w:p w14:paraId="78C55EFA" w14:textId="77777777" w:rsidR="00FA238F" w:rsidRDefault="00000000">
            <w:pPr>
              <w:keepNext/>
              <w:keepLines/>
              <w:spacing w:after="0" w:line="240" w:lineRule="auto"/>
              <w:jc w:val="right"/>
            </w:pPr>
            <w:r>
              <w:rPr>
                <w:b/>
                <w:sz w:val="18"/>
              </w:rPr>
              <w:t>109.189,50</w:t>
            </w:r>
          </w:p>
        </w:tc>
        <w:tc>
          <w:tcPr>
            <w:tcW w:w="700" w:type="dxa"/>
            <w:tcMar>
              <w:top w:w="0" w:type="dxa"/>
              <w:bottom w:w="0" w:type="dxa"/>
            </w:tcMar>
            <w:vAlign w:val="center"/>
          </w:tcPr>
          <w:p w14:paraId="46D9A796" w14:textId="77777777" w:rsidR="00FA238F" w:rsidRDefault="00000000">
            <w:pPr>
              <w:keepNext/>
              <w:keepLines/>
              <w:spacing w:after="0" w:line="240" w:lineRule="auto"/>
              <w:jc w:val="right"/>
            </w:pPr>
            <w:r>
              <w:rPr>
                <w:b/>
                <w:sz w:val="18"/>
              </w:rPr>
              <w:t>-</w:t>
            </w:r>
          </w:p>
        </w:tc>
      </w:tr>
    </w:tbl>
    <w:p w14:paraId="21E0972C" w14:textId="77777777" w:rsidR="00FA238F" w:rsidRDefault="00FA238F">
      <w:pPr>
        <w:spacing w:after="0"/>
      </w:pPr>
    </w:p>
    <w:p w14:paraId="4014294F" w14:textId="724D1EBA" w:rsidR="00FA238F" w:rsidRDefault="00000000">
      <w:pPr>
        <w:spacing w:line="240" w:lineRule="auto"/>
        <w:jc w:val="both"/>
      </w:pPr>
      <w:r>
        <w:t xml:space="preserve">Dom za starije osobe Bjelovar posluje u skladu sa Zakonom o proračunskom računovodstvu temeljem Pravilnika o izmjenama i dopunama Pravilnika o proračunskom računovodstvu i računskom planu (NN 52/25), a financijske izvještaje sastavlja i predaje u skladu s odredbama Pravilnika o financijskom izvještavanju u proračunskom računovodstvu. Odgovorna osoba za zastupanje Doma za starije osobe je ravnateljica Irena </w:t>
      </w:r>
      <w:proofErr w:type="spellStart"/>
      <w:r>
        <w:t>Brezak</w:t>
      </w:r>
      <w:proofErr w:type="spellEnd"/>
      <w:r>
        <w:t xml:space="preserve"> </w:t>
      </w:r>
      <w:proofErr w:type="spellStart"/>
      <w:r>
        <w:t>Fijala</w:t>
      </w:r>
      <w:proofErr w:type="spellEnd"/>
      <w:r>
        <w:t xml:space="preserve"> koja dužnost ravnateljice obavlja od 20.5.2025. odlukom Upravnog vijeća.   U obrascu PR-RAS za izvještajno razdoblje  od 1.1.2025.-30.6.2025 utvrđen je manjak prihoda nad rashodima u ukupnom </w:t>
      </w:r>
      <w:r>
        <w:lastRenderedPageBreak/>
        <w:t xml:space="preserve">iznosu od 109.189,50 eura.   Ukupni prihodi poslovanja iznose 1.486.315,21 eura a rashodi poslovanja 1.523.049,74 eura što ukupno generira manjak u iznosu od 36.734,53 eura. Navedeni manjak se odnosi na veći rashod za zaposlene zbog knjiženja 7 plaća u razdoblju od 6 mjeseci prema naputku </w:t>
      </w:r>
      <w:r w:rsidR="004D50D8">
        <w:t>novog</w:t>
      </w:r>
      <w:r>
        <w:t xml:space="preserve"> Pravilnika.  Prihodi od prodaje nefinancijske imovine ostvareni su u iznosu od 1.530,00 eura a rashodi za nabavku nove ili ulaganje u postojeću imovinu ostvareni su u iznosu od 56.731,01 eura što generira manjak u iznosu od 56.731,01 eura. Prodaja imovine Doma nije učestala te su uvijek rashodi za nefinancijsku imovinu veći od prihoda zbog ulaganja u Dom. U prvoj polovici godine bilo je mnogo ulaganja u nefinancijsku imovinu (kupovina opreme i dodatna ulaganja u postojeću imovinu) te je ostvaren manjak veći u odnosu na prethodnu godinu.  U izvještajnom razdoblju nije ostvaren primitak za financijsku imovinu odnosno nije bilo novih zaduživanja. Ostvaren je izdatak za financijsku imovinu odnosno otplaćuje se kredit za energetsku obnovu Doma te je podmireno 6 rata kredita u ukupnom iznosu 17.253,96 eura te je ostvaren manjak u istom iznosu kao i prethodne godine.</w:t>
      </w:r>
    </w:p>
    <w:p w14:paraId="6081899F" w14:textId="77777777" w:rsidR="00FA238F" w:rsidRDefault="00000000">
      <w:r>
        <w:br/>
      </w:r>
    </w:p>
    <w:p w14:paraId="6489955E" w14:textId="77777777" w:rsidR="00FA238F"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06FD86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34139D"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E1270F"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A426B1"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6D2FA4"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C96A2B"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FAA0F5" w14:textId="77777777" w:rsidR="00FA238F" w:rsidRDefault="00000000">
            <w:pPr>
              <w:keepNext/>
              <w:keepLines/>
              <w:spacing w:after="0" w:line="240" w:lineRule="auto"/>
              <w:jc w:val="center"/>
            </w:pPr>
            <w:r>
              <w:rPr>
                <w:b/>
                <w:sz w:val="18"/>
              </w:rPr>
              <w:t>Indeks (%)</w:t>
            </w:r>
          </w:p>
        </w:tc>
      </w:tr>
      <w:tr w:rsidR="00FA238F" w14:paraId="01B37AE1" w14:textId="77777777">
        <w:tblPrEx>
          <w:tblCellMar>
            <w:top w:w="0" w:type="dxa"/>
            <w:bottom w:w="0" w:type="dxa"/>
          </w:tblCellMar>
        </w:tblPrEx>
        <w:trPr>
          <w:cantSplit/>
          <w:trHeight w:val="560"/>
        </w:trPr>
        <w:tc>
          <w:tcPr>
            <w:tcW w:w="700" w:type="dxa"/>
            <w:tcMar>
              <w:top w:w="0" w:type="dxa"/>
              <w:bottom w:w="0" w:type="dxa"/>
            </w:tcMar>
            <w:vAlign w:val="center"/>
          </w:tcPr>
          <w:p w14:paraId="47184978" w14:textId="77777777" w:rsidR="00FA238F" w:rsidRDefault="00000000">
            <w:pPr>
              <w:keepNext/>
              <w:keepLines/>
              <w:spacing w:after="0" w:line="240" w:lineRule="auto"/>
            </w:pPr>
            <w:r>
              <w:rPr>
                <w:sz w:val="18"/>
              </w:rPr>
              <w:t>6</w:t>
            </w:r>
          </w:p>
        </w:tc>
        <w:tc>
          <w:tcPr>
            <w:tcW w:w="3180" w:type="dxa"/>
            <w:tcMar>
              <w:top w:w="0" w:type="dxa"/>
              <w:bottom w:w="0" w:type="dxa"/>
            </w:tcMar>
            <w:vAlign w:val="center"/>
          </w:tcPr>
          <w:p w14:paraId="09C76D75" w14:textId="77777777" w:rsidR="00FA238F"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2BEE923" w14:textId="77777777" w:rsidR="00FA238F" w:rsidRDefault="00000000">
            <w:pPr>
              <w:keepNext/>
              <w:keepLines/>
              <w:spacing w:after="0" w:line="240" w:lineRule="auto"/>
            </w:pPr>
            <w:r>
              <w:rPr>
                <w:sz w:val="18"/>
              </w:rPr>
              <w:t>6</w:t>
            </w:r>
          </w:p>
        </w:tc>
        <w:tc>
          <w:tcPr>
            <w:tcW w:w="1860" w:type="dxa"/>
            <w:tcMar>
              <w:top w:w="0" w:type="dxa"/>
              <w:bottom w:w="0" w:type="dxa"/>
            </w:tcMar>
            <w:vAlign w:val="center"/>
          </w:tcPr>
          <w:p w14:paraId="3102B011" w14:textId="77777777" w:rsidR="00FA238F" w:rsidRDefault="00000000">
            <w:pPr>
              <w:keepNext/>
              <w:keepLines/>
              <w:spacing w:after="0" w:line="240" w:lineRule="auto"/>
              <w:jc w:val="right"/>
            </w:pPr>
            <w:r>
              <w:rPr>
                <w:sz w:val="18"/>
              </w:rPr>
              <w:t>1.254.902,48</w:t>
            </w:r>
          </w:p>
        </w:tc>
        <w:tc>
          <w:tcPr>
            <w:tcW w:w="1860" w:type="dxa"/>
            <w:tcMar>
              <w:top w:w="0" w:type="dxa"/>
              <w:bottom w:w="0" w:type="dxa"/>
            </w:tcMar>
            <w:vAlign w:val="center"/>
          </w:tcPr>
          <w:p w14:paraId="4F295989" w14:textId="77777777" w:rsidR="00FA238F" w:rsidRDefault="00000000">
            <w:pPr>
              <w:keepNext/>
              <w:keepLines/>
              <w:spacing w:after="0" w:line="240" w:lineRule="auto"/>
              <w:jc w:val="right"/>
            </w:pPr>
            <w:r>
              <w:rPr>
                <w:sz w:val="18"/>
              </w:rPr>
              <w:t>1.486.315,21</w:t>
            </w:r>
          </w:p>
        </w:tc>
        <w:tc>
          <w:tcPr>
            <w:tcW w:w="700" w:type="dxa"/>
            <w:tcMar>
              <w:top w:w="0" w:type="dxa"/>
              <w:bottom w:w="0" w:type="dxa"/>
            </w:tcMar>
            <w:vAlign w:val="center"/>
          </w:tcPr>
          <w:p w14:paraId="005CC30D" w14:textId="77777777" w:rsidR="00FA238F" w:rsidRDefault="00000000">
            <w:pPr>
              <w:keepNext/>
              <w:keepLines/>
              <w:spacing w:after="0" w:line="240" w:lineRule="auto"/>
              <w:jc w:val="right"/>
            </w:pPr>
            <w:r>
              <w:rPr>
                <w:sz w:val="18"/>
              </w:rPr>
              <w:t>118,4</w:t>
            </w:r>
          </w:p>
        </w:tc>
      </w:tr>
    </w:tbl>
    <w:p w14:paraId="5D7DC335" w14:textId="77777777" w:rsidR="00FA238F" w:rsidRDefault="00FA238F">
      <w:pPr>
        <w:spacing w:after="0"/>
      </w:pPr>
    </w:p>
    <w:p w14:paraId="3CB6BCAE" w14:textId="77777777" w:rsidR="00FA238F" w:rsidRDefault="00000000">
      <w:pPr>
        <w:spacing w:line="240" w:lineRule="auto"/>
        <w:jc w:val="both"/>
      </w:pPr>
      <w:r>
        <w:t>Ukupni prihodi poslovanja Doma za starije osobe Bjelovar ostvareni su u iznosu od 1.486.315,21 euro što je u odnosu na isto razdoblje prethodne godine 18,4 %. Najveći porast prihoda odnosi se na povećanje prihoda od korisnika za smještaj jer su se cijene povećale tek od 1.4.2024. godine što je značilo manje prihode u razdoblju 1.1.-31.3.2024. od istog razdoblja u 2025. godini. Osim vlastitih prihoda povećana su i decentralizirana sredstva (izvor 125)za proračunske korisnike od veljače 2025. godine.</w:t>
      </w:r>
    </w:p>
    <w:p w14:paraId="49714377" w14:textId="77777777" w:rsidR="00FA238F" w:rsidRDefault="00FA238F"/>
    <w:p w14:paraId="1936076C" w14:textId="77777777" w:rsidR="00FA238F"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495863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C76FE2"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1C0D0A"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2D0D9B"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6FA608"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417FFC"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D7C2C9" w14:textId="77777777" w:rsidR="00FA238F" w:rsidRDefault="00000000">
            <w:pPr>
              <w:keepNext/>
              <w:keepLines/>
              <w:spacing w:after="0" w:line="240" w:lineRule="auto"/>
              <w:jc w:val="center"/>
            </w:pPr>
            <w:r>
              <w:rPr>
                <w:b/>
                <w:sz w:val="18"/>
              </w:rPr>
              <w:t>Indeks (%)</w:t>
            </w:r>
          </w:p>
        </w:tc>
      </w:tr>
      <w:tr w:rsidR="00FA238F" w14:paraId="38160438" w14:textId="77777777">
        <w:tblPrEx>
          <w:tblCellMar>
            <w:top w:w="0" w:type="dxa"/>
            <w:bottom w:w="0" w:type="dxa"/>
          </w:tblCellMar>
        </w:tblPrEx>
        <w:trPr>
          <w:cantSplit/>
          <w:trHeight w:val="560"/>
        </w:trPr>
        <w:tc>
          <w:tcPr>
            <w:tcW w:w="700" w:type="dxa"/>
            <w:tcMar>
              <w:top w:w="0" w:type="dxa"/>
              <w:bottom w:w="0" w:type="dxa"/>
            </w:tcMar>
            <w:vAlign w:val="center"/>
          </w:tcPr>
          <w:p w14:paraId="5EEDEE1B" w14:textId="77777777" w:rsidR="00FA238F" w:rsidRDefault="00000000">
            <w:pPr>
              <w:keepNext/>
              <w:keepLines/>
              <w:spacing w:after="0" w:line="240" w:lineRule="auto"/>
            </w:pPr>
            <w:r>
              <w:rPr>
                <w:sz w:val="18"/>
              </w:rPr>
              <w:t>6341</w:t>
            </w:r>
          </w:p>
        </w:tc>
        <w:tc>
          <w:tcPr>
            <w:tcW w:w="3180" w:type="dxa"/>
            <w:tcMar>
              <w:top w:w="0" w:type="dxa"/>
              <w:bottom w:w="0" w:type="dxa"/>
            </w:tcMar>
            <w:vAlign w:val="center"/>
          </w:tcPr>
          <w:p w14:paraId="68D45C05" w14:textId="77777777" w:rsidR="00FA238F" w:rsidRDefault="00000000">
            <w:pPr>
              <w:keepNext/>
              <w:keepLines/>
              <w:spacing w:after="0" w:line="240" w:lineRule="auto"/>
            </w:pPr>
            <w:r>
              <w:rPr>
                <w:sz w:val="18"/>
              </w:rPr>
              <w:t>Tekuće pomoći od izvanproračunskih korisnika</w:t>
            </w:r>
          </w:p>
        </w:tc>
        <w:tc>
          <w:tcPr>
            <w:tcW w:w="700" w:type="dxa"/>
            <w:tcMar>
              <w:top w:w="0" w:type="dxa"/>
              <w:bottom w:w="0" w:type="dxa"/>
            </w:tcMar>
            <w:vAlign w:val="center"/>
          </w:tcPr>
          <w:p w14:paraId="35DB2055" w14:textId="77777777" w:rsidR="00FA238F" w:rsidRDefault="00000000">
            <w:pPr>
              <w:keepNext/>
              <w:keepLines/>
              <w:spacing w:after="0" w:line="240" w:lineRule="auto"/>
            </w:pPr>
            <w:r>
              <w:rPr>
                <w:sz w:val="18"/>
              </w:rPr>
              <w:t>6341</w:t>
            </w:r>
          </w:p>
        </w:tc>
        <w:tc>
          <w:tcPr>
            <w:tcW w:w="1860" w:type="dxa"/>
            <w:tcMar>
              <w:top w:w="0" w:type="dxa"/>
              <w:bottom w:w="0" w:type="dxa"/>
            </w:tcMar>
            <w:vAlign w:val="center"/>
          </w:tcPr>
          <w:p w14:paraId="327421AA" w14:textId="77777777" w:rsidR="00FA238F" w:rsidRDefault="00000000">
            <w:pPr>
              <w:keepNext/>
              <w:keepLines/>
              <w:spacing w:after="0" w:line="240" w:lineRule="auto"/>
              <w:jc w:val="right"/>
            </w:pPr>
            <w:r>
              <w:rPr>
                <w:sz w:val="18"/>
              </w:rPr>
              <w:t>0,00</w:t>
            </w:r>
          </w:p>
        </w:tc>
        <w:tc>
          <w:tcPr>
            <w:tcW w:w="1860" w:type="dxa"/>
            <w:tcMar>
              <w:top w:w="0" w:type="dxa"/>
              <w:bottom w:w="0" w:type="dxa"/>
            </w:tcMar>
            <w:vAlign w:val="center"/>
          </w:tcPr>
          <w:p w14:paraId="2C3C46DC" w14:textId="77777777" w:rsidR="00FA238F" w:rsidRDefault="00000000">
            <w:pPr>
              <w:keepNext/>
              <w:keepLines/>
              <w:spacing w:after="0" w:line="240" w:lineRule="auto"/>
              <w:jc w:val="right"/>
            </w:pPr>
            <w:r>
              <w:rPr>
                <w:sz w:val="18"/>
              </w:rPr>
              <w:t>10.517,31</w:t>
            </w:r>
          </w:p>
        </w:tc>
        <w:tc>
          <w:tcPr>
            <w:tcW w:w="700" w:type="dxa"/>
            <w:tcMar>
              <w:top w:w="0" w:type="dxa"/>
              <w:bottom w:w="0" w:type="dxa"/>
            </w:tcMar>
            <w:vAlign w:val="center"/>
          </w:tcPr>
          <w:p w14:paraId="1F772012" w14:textId="77777777" w:rsidR="00FA238F" w:rsidRDefault="00000000">
            <w:pPr>
              <w:keepNext/>
              <w:keepLines/>
              <w:spacing w:after="0" w:line="240" w:lineRule="auto"/>
              <w:jc w:val="right"/>
            </w:pPr>
            <w:r>
              <w:rPr>
                <w:sz w:val="18"/>
              </w:rPr>
              <w:t>-</w:t>
            </w:r>
          </w:p>
        </w:tc>
      </w:tr>
    </w:tbl>
    <w:p w14:paraId="3FAC9C3B" w14:textId="77777777" w:rsidR="00FA238F" w:rsidRDefault="00FA238F">
      <w:pPr>
        <w:spacing w:after="0"/>
      </w:pPr>
    </w:p>
    <w:p w14:paraId="5BF24CA3" w14:textId="77777777" w:rsidR="00FA238F" w:rsidRDefault="00000000">
      <w:pPr>
        <w:spacing w:line="240" w:lineRule="auto"/>
        <w:jc w:val="both"/>
      </w:pPr>
      <w:r>
        <w:t>Tijekom lipnja 2025. godine zaposlena je jedna djelatnica preko javnih radova - HZZ-a te je za pokrivanje rashoda njene plaće zaprimljen prihod u iznosu od 10.517,31 eura a iz čega će se financirati njena minimalna bruto plaća i doprinosi i porezi te naknada za prijevoz.</w:t>
      </w:r>
    </w:p>
    <w:p w14:paraId="7972F4CF" w14:textId="77777777" w:rsidR="00FA238F" w:rsidRDefault="00FA238F"/>
    <w:p w14:paraId="4A26A31B" w14:textId="77777777" w:rsidR="00FA238F"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69D2DE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4C3107"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01BACD"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681B78"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F2B1FF"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A35096"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57793C" w14:textId="77777777" w:rsidR="00FA238F" w:rsidRDefault="00000000">
            <w:pPr>
              <w:keepNext/>
              <w:keepLines/>
              <w:spacing w:after="0" w:line="240" w:lineRule="auto"/>
              <w:jc w:val="center"/>
            </w:pPr>
            <w:r>
              <w:rPr>
                <w:b/>
                <w:sz w:val="18"/>
              </w:rPr>
              <w:t>Indeks (%)</w:t>
            </w:r>
          </w:p>
        </w:tc>
      </w:tr>
      <w:tr w:rsidR="00FA238F" w14:paraId="4ED9CB5D" w14:textId="77777777">
        <w:tblPrEx>
          <w:tblCellMar>
            <w:top w:w="0" w:type="dxa"/>
            <w:bottom w:w="0" w:type="dxa"/>
          </w:tblCellMar>
        </w:tblPrEx>
        <w:trPr>
          <w:cantSplit/>
          <w:trHeight w:val="560"/>
        </w:trPr>
        <w:tc>
          <w:tcPr>
            <w:tcW w:w="700" w:type="dxa"/>
            <w:tcMar>
              <w:top w:w="0" w:type="dxa"/>
              <w:bottom w:w="0" w:type="dxa"/>
            </w:tcMar>
            <w:vAlign w:val="center"/>
          </w:tcPr>
          <w:p w14:paraId="59B33BD9" w14:textId="77777777" w:rsidR="00FA238F" w:rsidRDefault="00000000">
            <w:pPr>
              <w:keepNext/>
              <w:keepLines/>
              <w:spacing w:after="0" w:line="240" w:lineRule="auto"/>
            </w:pPr>
            <w:r>
              <w:rPr>
                <w:sz w:val="18"/>
              </w:rPr>
              <w:t>6361</w:t>
            </w:r>
          </w:p>
        </w:tc>
        <w:tc>
          <w:tcPr>
            <w:tcW w:w="3180" w:type="dxa"/>
            <w:tcMar>
              <w:top w:w="0" w:type="dxa"/>
              <w:bottom w:w="0" w:type="dxa"/>
            </w:tcMar>
            <w:vAlign w:val="center"/>
          </w:tcPr>
          <w:p w14:paraId="4C0BD59D" w14:textId="77777777" w:rsidR="00FA238F"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7D0EC372" w14:textId="77777777" w:rsidR="00FA238F" w:rsidRDefault="00000000">
            <w:pPr>
              <w:keepNext/>
              <w:keepLines/>
              <w:spacing w:after="0" w:line="240" w:lineRule="auto"/>
            </w:pPr>
            <w:r>
              <w:rPr>
                <w:sz w:val="18"/>
              </w:rPr>
              <w:t>6361</w:t>
            </w:r>
          </w:p>
        </w:tc>
        <w:tc>
          <w:tcPr>
            <w:tcW w:w="1860" w:type="dxa"/>
            <w:tcMar>
              <w:top w:w="0" w:type="dxa"/>
              <w:bottom w:w="0" w:type="dxa"/>
            </w:tcMar>
            <w:vAlign w:val="center"/>
          </w:tcPr>
          <w:p w14:paraId="3A6CDD55" w14:textId="77777777" w:rsidR="00FA238F" w:rsidRDefault="00000000">
            <w:pPr>
              <w:keepNext/>
              <w:keepLines/>
              <w:spacing w:after="0" w:line="240" w:lineRule="auto"/>
              <w:jc w:val="right"/>
            </w:pPr>
            <w:r>
              <w:rPr>
                <w:sz w:val="18"/>
              </w:rPr>
              <w:t>3.240,00</w:t>
            </w:r>
          </w:p>
        </w:tc>
        <w:tc>
          <w:tcPr>
            <w:tcW w:w="1860" w:type="dxa"/>
            <w:tcMar>
              <w:top w:w="0" w:type="dxa"/>
              <w:bottom w:w="0" w:type="dxa"/>
            </w:tcMar>
            <w:vAlign w:val="center"/>
          </w:tcPr>
          <w:p w14:paraId="7D73D586" w14:textId="77777777" w:rsidR="00FA238F" w:rsidRDefault="00000000">
            <w:pPr>
              <w:keepNext/>
              <w:keepLines/>
              <w:spacing w:after="0" w:line="240" w:lineRule="auto"/>
              <w:jc w:val="right"/>
            </w:pPr>
            <w:r>
              <w:rPr>
                <w:sz w:val="18"/>
              </w:rPr>
              <w:t>3.240,00</w:t>
            </w:r>
          </w:p>
        </w:tc>
        <w:tc>
          <w:tcPr>
            <w:tcW w:w="700" w:type="dxa"/>
            <w:tcMar>
              <w:top w:w="0" w:type="dxa"/>
              <w:bottom w:w="0" w:type="dxa"/>
            </w:tcMar>
            <w:vAlign w:val="center"/>
          </w:tcPr>
          <w:p w14:paraId="5FD3791A" w14:textId="77777777" w:rsidR="00FA238F" w:rsidRDefault="00000000">
            <w:pPr>
              <w:keepNext/>
              <w:keepLines/>
              <w:spacing w:after="0" w:line="240" w:lineRule="auto"/>
              <w:jc w:val="right"/>
            </w:pPr>
            <w:r>
              <w:rPr>
                <w:sz w:val="18"/>
              </w:rPr>
              <w:t>100</w:t>
            </w:r>
          </w:p>
        </w:tc>
      </w:tr>
    </w:tbl>
    <w:p w14:paraId="145B7E5D" w14:textId="77777777" w:rsidR="00FA238F" w:rsidRDefault="00FA238F">
      <w:pPr>
        <w:spacing w:after="0"/>
      </w:pPr>
    </w:p>
    <w:p w14:paraId="150B6584" w14:textId="77777777" w:rsidR="00FA238F" w:rsidRDefault="00000000">
      <w:pPr>
        <w:spacing w:line="240" w:lineRule="auto"/>
        <w:jc w:val="both"/>
      </w:pPr>
      <w:r>
        <w:t>Iznos tekuće pomoći od 3.240,00 eura odnosi se na aktivirane kupone za umanjenje računa plina u mjesečnim iznosima od 540,00 eura za proračunskog korisnika.</w:t>
      </w:r>
    </w:p>
    <w:p w14:paraId="7142477A" w14:textId="77777777" w:rsidR="00FA238F" w:rsidRDefault="00FA238F"/>
    <w:p w14:paraId="16BCFAF3" w14:textId="77777777" w:rsidR="00FA238F"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25BA01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F3F7D8"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7802D2"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10F4C1"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8A4803"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F961E6"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2D80FC" w14:textId="77777777" w:rsidR="00FA238F" w:rsidRDefault="00000000">
            <w:pPr>
              <w:keepNext/>
              <w:keepLines/>
              <w:spacing w:after="0" w:line="240" w:lineRule="auto"/>
              <w:jc w:val="center"/>
            </w:pPr>
            <w:r>
              <w:rPr>
                <w:b/>
                <w:sz w:val="18"/>
              </w:rPr>
              <w:t>Indeks (%)</w:t>
            </w:r>
          </w:p>
        </w:tc>
      </w:tr>
      <w:tr w:rsidR="00FA238F" w14:paraId="64EC03B4" w14:textId="77777777">
        <w:tblPrEx>
          <w:tblCellMar>
            <w:top w:w="0" w:type="dxa"/>
            <w:bottom w:w="0" w:type="dxa"/>
          </w:tblCellMar>
        </w:tblPrEx>
        <w:trPr>
          <w:cantSplit/>
          <w:trHeight w:val="560"/>
        </w:trPr>
        <w:tc>
          <w:tcPr>
            <w:tcW w:w="700" w:type="dxa"/>
            <w:tcMar>
              <w:top w:w="0" w:type="dxa"/>
              <w:bottom w:w="0" w:type="dxa"/>
            </w:tcMar>
            <w:vAlign w:val="center"/>
          </w:tcPr>
          <w:p w14:paraId="6BD8E0BE" w14:textId="77777777" w:rsidR="00FA238F" w:rsidRDefault="00000000">
            <w:pPr>
              <w:keepNext/>
              <w:keepLines/>
              <w:spacing w:after="0" w:line="240" w:lineRule="auto"/>
            </w:pPr>
            <w:r>
              <w:rPr>
                <w:sz w:val="18"/>
              </w:rPr>
              <w:t>6362</w:t>
            </w:r>
          </w:p>
        </w:tc>
        <w:tc>
          <w:tcPr>
            <w:tcW w:w="3180" w:type="dxa"/>
            <w:tcMar>
              <w:top w:w="0" w:type="dxa"/>
              <w:bottom w:w="0" w:type="dxa"/>
            </w:tcMar>
            <w:vAlign w:val="center"/>
          </w:tcPr>
          <w:p w14:paraId="7A32D746" w14:textId="77777777" w:rsidR="00FA238F"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0B799B2F" w14:textId="77777777" w:rsidR="00FA238F" w:rsidRDefault="00000000">
            <w:pPr>
              <w:keepNext/>
              <w:keepLines/>
              <w:spacing w:after="0" w:line="240" w:lineRule="auto"/>
            </w:pPr>
            <w:r>
              <w:rPr>
                <w:sz w:val="18"/>
              </w:rPr>
              <w:t>6362</w:t>
            </w:r>
          </w:p>
        </w:tc>
        <w:tc>
          <w:tcPr>
            <w:tcW w:w="1860" w:type="dxa"/>
            <w:tcMar>
              <w:top w:w="0" w:type="dxa"/>
              <w:bottom w:w="0" w:type="dxa"/>
            </w:tcMar>
            <w:vAlign w:val="center"/>
          </w:tcPr>
          <w:p w14:paraId="53430C33" w14:textId="77777777" w:rsidR="00FA238F" w:rsidRDefault="00000000">
            <w:pPr>
              <w:keepNext/>
              <w:keepLines/>
              <w:spacing w:after="0" w:line="240" w:lineRule="auto"/>
              <w:jc w:val="right"/>
            </w:pPr>
            <w:r>
              <w:rPr>
                <w:sz w:val="18"/>
              </w:rPr>
              <w:t>0,00</w:t>
            </w:r>
          </w:p>
        </w:tc>
        <w:tc>
          <w:tcPr>
            <w:tcW w:w="1860" w:type="dxa"/>
            <w:tcMar>
              <w:top w:w="0" w:type="dxa"/>
              <w:bottom w:w="0" w:type="dxa"/>
            </w:tcMar>
            <w:vAlign w:val="center"/>
          </w:tcPr>
          <w:p w14:paraId="4E37EE39" w14:textId="77777777" w:rsidR="00FA238F" w:rsidRDefault="00000000">
            <w:pPr>
              <w:keepNext/>
              <w:keepLines/>
              <w:spacing w:after="0" w:line="240" w:lineRule="auto"/>
              <w:jc w:val="right"/>
            </w:pPr>
            <w:r>
              <w:rPr>
                <w:sz w:val="18"/>
              </w:rPr>
              <w:t>12.450,00</w:t>
            </w:r>
          </w:p>
        </w:tc>
        <w:tc>
          <w:tcPr>
            <w:tcW w:w="700" w:type="dxa"/>
            <w:tcMar>
              <w:top w:w="0" w:type="dxa"/>
              <w:bottom w:w="0" w:type="dxa"/>
            </w:tcMar>
            <w:vAlign w:val="center"/>
          </w:tcPr>
          <w:p w14:paraId="52BAD78C" w14:textId="77777777" w:rsidR="00FA238F" w:rsidRDefault="00000000">
            <w:pPr>
              <w:keepNext/>
              <w:keepLines/>
              <w:spacing w:after="0" w:line="240" w:lineRule="auto"/>
              <w:jc w:val="right"/>
            </w:pPr>
            <w:r>
              <w:rPr>
                <w:sz w:val="18"/>
              </w:rPr>
              <w:t>-</w:t>
            </w:r>
          </w:p>
        </w:tc>
      </w:tr>
    </w:tbl>
    <w:p w14:paraId="4D56F52B" w14:textId="77777777" w:rsidR="00FA238F" w:rsidRDefault="00FA238F">
      <w:pPr>
        <w:spacing w:after="0"/>
      </w:pPr>
    </w:p>
    <w:p w14:paraId="1C08583A" w14:textId="77777777" w:rsidR="00FA238F" w:rsidRDefault="00000000">
      <w:pPr>
        <w:spacing w:line="240" w:lineRule="auto"/>
        <w:jc w:val="both"/>
      </w:pPr>
      <w:r>
        <w:t>Na navedenom kontu prihoda ostvareno je 12.450,00 eura a odnosi se na prihod za pokrivanje rashoda iz 2024. godine za kupovinu stroja za bio otpad u kuhinji za koje je račun evidentiran na rashodima u prošloj godini a prihod od Fonda za zaštitu okoliša i energetsku učinkovitost je doznačen u 2025. godini.</w:t>
      </w:r>
    </w:p>
    <w:p w14:paraId="072D683D" w14:textId="77777777" w:rsidR="00FA238F" w:rsidRDefault="00FA238F"/>
    <w:p w14:paraId="7404A45B" w14:textId="77777777" w:rsidR="00FA238F"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7FF73B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2219BD"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424A0B"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1F4E81"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1381C8"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66A41B"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B28077" w14:textId="77777777" w:rsidR="00FA238F" w:rsidRDefault="00000000">
            <w:pPr>
              <w:keepNext/>
              <w:keepLines/>
              <w:spacing w:after="0" w:line="240" w:lineRule="auto"/>
              <w:jc w:val="center"/>
            </w:pPr>
            <w:r>
              <w:rPr>
                <w:b/>
                <w:sz w:val="18"/>
              </w:rPr>
              <w:t>Indeks (%)</w:t>
            </w:r>
          </w:p>
        </w:tc>
      </w:tr>
      <w:tr w:rsidR="00FA238F" w14:paraId="0BA9056E" w14:textId="77777777">
        <w:tblPrEx>
          <w:tblCellMar>
            <w:top w:w="0" w:type="dxa"/>
            <w:bottom w:w="0" w:type="dxa"/>
          </w:tblCellMar>
        </w:tblPrEx>
        <w:trPr>
          <w:cantSplit/>
          <w:trHeight w:val="560"/>
        </w:trPr>
        <w:tc>
          <w:tcPr>
            <w:tcW w:w="700" w:type="dxa"/>
            <w:tcMar>
              <w:top w:w="0" w:type="dxa"/>
              <w:bottom w:w="0" w:type="dxa"/>
            </w:tcMar>
            <w:vAlign w:val="center"/>
          </w:tcPr>
          <w:p w14:paraId="4AA74243" w14:textId="77777777" w:rsidR="00FA238F" w:rsidRDefault="00000000">
            <w:pPr>
              <w:keepNext/>
              <w:keepLines/>
              <w:spacing w:after="0" w:line="240" w:lineRule="auto"/>
            </w:pPr>
            <w:r>
              <w:rPr>
                <w:sz w:val="18"/>
              </w:rPr>
              <w:t>6526</w:t>
            </w:r>
          </w:p>
        </w:tc>
        <w:tc>
          <w:tcPr>
            <w:tcW w:w="3180" w:type="dxa"/>
            <w:tcMar>
              <w:top w:w="0" w:type="dxa"/>
              <w:bottom w:w="0" w:type="dxa"/>
            </w:tcMar>
            <w:vAlign w:val="center"/>
          </w:tcPr>
          <w:p w14:paraId="0DA5CE4C" w14:textId="77777777" w:rsidR="00FA238F" w:rsidRDefault="00000000">
            <w:pPr>
              <w:keepNext/>
              <w:keepLines/>
              <w:spacing w:after="0" w:line="240" w:lineRule="auto"/>
            </w:pPr>
            <w:r>
              <w:rPr>
                <w:sz w:val="18"/>
              </w:rPr>
              <w:t>Ostali nespomenuti prihodi</w:t>
            </w:r>
          </w:p>
        </w:tc>
        <w:tc>
          <w:tcPr>
            <w:tcW w:w="700" w:type="dxa"/>
            <w:tcMar>
              <w:top w:w="0" w:type="dxa"/>
              <w:bottom w:w="0" w:type="dxa"/>
            </w:tcMar>
            <w:vAlign w:val="center"/>
          </w:tcPr>
          <w:p w14:paraId="2CE7F7CD" w14:textId="77777777" w:rsidR="00FA238F" w:rsidRDefault="00000000">
            <w:pPr>
              <w:keepNext/>
              <w:keepLines/>
              <w:spacing w:after="0" w:line="240" w:lineRule="auto"/>
            </w:pPr>
            <w:r>
              <w:rPr>
                <w:sz w:val="18"/>
              </w:rPr>
              <w:t>6526</w:t>
            </w:r>
          </w:p>
        </w:tc>
        <w:tc>
          <w:tcPr>
            <w:tcW w:w="1860" w:type="dxa"/>
            <w:tcMar>
              <w:top w:w="0" w:type="dxa"/>
              <w:bottom w:w="0" w:type="dxa"/>
            </w:tcMar>
            <w:vAlign w:val="center"/>
          </w:tcPr>
          <w:p w14:paraId="5A1A442B" w14:textId="77777777" w:rsidR="00FA238F" w:rsidRDefault="00000000">
            <w:pPr>
              <w:keepNext/>
              <w:keepLines/>
              <w:spacing w:after="0" w:line="240" w:lineRule="auto"/>
              <w:jc w:val="right"/>
            </w:pPr>
            <w:r>
              <w:rPr>
                <w:sz w:val="18"/>
              </w:rPr>
              <w:t>810.182,95</w:t>
            </w:r>
          </w:p>
        </w:tc>
        <w:tc>
          <w:tcPr>
            <w:tcW w:w="1860" w:type="dxa"/>
            <w:tcMar>
              <w:top w:w="0" w:type="dxa"/>
              <w:bottom w:w="0" w:type="dxa"/>
            </w:tcMar>
            <w:vAlign w:val="center"/>
          </w:tcPr>
          <w:p w14:paraId="3CB61783" w14:textId="77777777" w:rsidR="00FA238F" w:rsidRDefault="00000000">
            <w:pPr>
              <w:keepNext/>
              <w:keepLines/>
              <w:spacing w:after="0" w:line="240" w:lineRule="auto"/>
              <w:jc w:val="right"/>
            </w:pPr>
            <w:r>
              <w:rPr>
                <w:sz w:val="18"/>
              </w:rPr>
              <w:t>994.764,64</w:t>
            </w:r>
          </w:p>
        </w:tc>
        <w:tc>
          <w:tcPr>
            <w:tcW w:w="700" w:type="dxa"/>
            <w:tcMar>
              <w:top w:w="0" w:type="dxa"/>
              <w:bottom w:w="0" w:type="dxa"/>
            </w:tcMar>
            <w:vAlign w:val="center"/>
          </w:tcPr>
          <w:p w14:paraId="30B0DA07" w14:textId="77777777" w:rsidR="00FA238F" w:rsidRDefault="00000000">
            <w:pPr>
              <w:keepNext/>
              <w:keepLines/>
              <w:spacing w:after="0" w:line="240" w:lineRule="auto"/>
              <w:jc w:val="right"/>
            </w:pPr>
            <w:r>
              <w:rPr>
                <w:sz w:val="18"/>
              </w:rPr>
              <w:t>122,8</w:t>
            </w:r>
          </w:p>
        </w:tc>
      </w:tr>
    </w:tbl>
    <w:p w14:paraId="6E41F9FE" w14:textId="77777777" w:rsidR="00FA238F" w:rsidRDefault="00FA238F">
      <w:pPr>
        <w:spacing w:after="0"/>
      </w:pPr>
    </w:p>
    <w:p w14:paraId="7420657A" w14:textId="1DD5A3C3" w:rsidR="00FA238F" w:rsidRDefault="00000000">
      <w:pPr>
        <w:spacing w:line="240" w:lineRule="auto"/>
        <w:jc w:val="both"/>
      </w:pPr>
      <w:r>
        <w:t xml:space="preserve">U izvještajnom razdoblju ostvareno je 994.764,64 eura prihoda od korisnika pri čemu je vidljivo povećanje od 22,8 % u odnosu na isto razdoblje prethodne godine. Do povećanja prihoda je došlo zbog povećanih cijena za smještaj korisnika (u prosjeku 25% u odnosu na prijašnje cijene) kada se uspoređuje prvo </w:t>
      </w:r>
      <w:r w:rsidR="004D50D8">
        <w:t>tromjesečje</w:t>
      </w:r>
      <w:r>
        <w:t xml:space="preserve"> 2024. i 2025. godine. Do povećanja prihoda je moralo doći radi </w:t>
      </w:r>
      <w:r w:rsidR="004D50D8">
        <w:t>neodrživosti</w:t>
      </w:r>
      <w:r>
        <w:t xml:space="preserve"> odnosno povećanja rashoda za zaposlene od 1. ožujka 2024. godine te povećanja cijena kod nekih dobavljača roba i usluga.</w:t>
      </w:r>
    </w:p>
    <w:p w14:paraId="19E20238" w14:textId="77777777" w:rsidR="00FA238F" w:rsidRDefault="00FA238F"/>
    <w:p w14:paraId="0E7BCC6E" w14:textId="77777777" w:rsidR="00FA238F"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2E6F8F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5E4046"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D48CA1"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23D61A"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D98693"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0C9B28"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A91AA1" w14:textId="77777777" w:rsidR="00FA238F" w:rsidRDefault="00000000">
            <w:pPr>
              <w:keepNext/>
              <w:keepLines/>
              <w:spacing w:after="0" w:line="240" w:lineRule="auto"/>
              <w:jc w:val="center"/>
            </w:pPr>
            <w:r>
              <w:rPr>
                <w:b/>
                <w:sz w:val="18"/>
              </w:rPr>
              <w:t>Indeks (%)</w:t>
            </w:r>
          </w:p>
        </w:tc>
      </w:tr>
      <w:tr w:rsidR="00FA238F" w14:paraId="046D8DD7" w14:textId="77777777">
        <w:tblPrEx>
          <w:tblCellMar>
            <w:top w:w="0" w:type="dxa"/>
            <w:bottom w:w="0" w:type="dxa"/>
          </w:tblCellMar>
        </w:tblPrEx>
        <w:trPr>
          <w:cantSplit/>
          <w:trHeight w:val="560"/>
        </w:trPr>
        <w:tc>
          <w:tcPr>
            <w:tcW w:w="700" w:type="dxa"/>
            <w:tcMar>
              <w:top w:w="0" w:type="dxa"/>
              <w:bottom w:w="0" w:type="dxa"/>
            </w:tcMar>
            <w:vAlign w:val="center"/>
          </w:tcPr>
          <w:p w14:paraId="08D4480E" w14:textId="77777777" w:rsidR="00FA238F" w:rsidRDefault="00000000">
            <w:pPr>
              <w:keepNext/>
              <w:keepLines/>
              <w:spacing w:after="0" w:line="240" w:lineRule="auto"/>
            </w:pPr>
            <w:r>
              <w:rPr>
                <w:sz w:val="18"/>
              </w:rPr>
              <w:t>663</w:t>
            </w:r>
          </w:p>
        </w:tc>
        <w:tc>
          <w:tcPr>
            <w:tcW w:w="3180" w:type="dxa"/>
            <w:tcMar>
              <w:top w:w="0" w:type="dxa"/>
              <w:bottom w:w="0" w:type="dxa"/>
            </w:tcMar>
            <w:vAlign w:val="center"/>
          </w:tcPr>
          <w:p w14:paraId="52DCF5FC" w14:textId="77777777" w:rsidR="00FA238F"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01D5A788" w14:textId="77777777" w:rsidR="00FA238F" w:rsidRDefault="00000000">
            <w:pPr>
              <w:keepNext/>
              <w:keepLines/>
              <w:spacing w:after="0" w:line="240" w:lineRule="auto"/>
            </w:pPr>
            <w:r>
              <w:rPr>
                <w:sz w:val="18"/>
              </w:rPr>
              <w:t>663</w:t>
            </w:r>
          </w:p>
        </w:tc>
        <w:tc>
          <w:tcPr>
            <w:tcW w:w="1860" w:type="dxa"/>
            <w:tcMar>
              <w:top w:w="0" w:type="dxa"/>
              <w:bottom w:w="0" w:type="dxa"/>
            </w:tcMar>
            <w:vAlign w:val="center"/>
          </w:tcPr>
          <w:p w14:paraId="7C88BDDB" w14:textId="77777777" w:rsidR="00FA238F" w:rsidRDefault="00000000">
            <w:pPr>
              <w:keepNext/>
              <w:keepLines/>
              <w:spacing w:after="0" w:line="240" w:lineRule="auto"/>
              <w:jc w:val="right"/>
            </w:pPr>
            <w:r>
              <w:rPr>
                <w:sz w:val="18"/>
              </w:rPr>
              <w:t>13.375,86</w:t>
            </w:r>
          </w:p>
        </w:tc>
        <w:tc>
          <w:tcPr>
            <w:tcW w:w="1860" w:type="dxa"/>
            <w:tcMar>
              <w:top w:w="0" w:type="dxa"/>
              <w:bottom w:w="0" w:type="dxa"/>
            </w:tcMar>
            <w:vAlign w:val="center"/>
          </w:tcPr>
          <w:p w14:paraId="24E87645" w14:textId="77777777" w:rsidR="00FA238F" w:rsidRDefault="00000000">
            <w:pPr>
              <w:keepNext/>
              <w:keepLines/>
              <w:spacing w:after="0" w:line="240" w:lineRule="auto"/>
              <w:jc w:val="right"/>
            </w:pPr>
            <w:r>
              <w:rPr>
                <w:sz w:val="18"/>
              </w:rPr>
              <w:t>162,48</w:t>
            </w:r>
          </w:p>
        </w:tc>
        <w:tc>
          <w:tcPr>
            <w:tcW w:w="700" w:type="dxa"/>
            <w:tcMar>
              <w:top w:w="0" w:type="dxa"/>
              <w:bottom w:w="0" w:type="dxa"/>
            </w:tcMar>
            <w:vAlign w:val="center"/>
          </w:tcPr>
          <w:p w14:paraId="050DFB47" w14:textId="77777777" w:rsidR="00FA238F" w:rsidRDefault="00000000">
            <w:pPr>
              <w:keepNext/>
              <w:keepLines/>
              <w:spacing w:after="0" w:line="240" w:lineRule="auto"/>
              <w:jc w:val="right"/>
            </w:pPr>
            <w:r>
              <w:rPr>
                <w:sz w:val="18"/>
              </w:rPr>
              <w:t>1,2</w:t>
            </w:r>
          </w:p>
        </w:tc>
      </w:tr>
    </w:tbl>
    <w:p w14:paraId="79E729AC" w14:textId="77777777" w:rsidR="00FA238F" w:rsidRDefault="00FA238F">
      <w:pPr>
        <w:spacing w:after="0"/>
      </w:pPr>
    </w:p>
    <w:p w14:paraId="3436B102" w14:textId="77777777" w:rsidR="00FA238F" w:rsidRDefault="00000000">
      <w:pPr>
        <w:spacing w:line="240" w:lineRule="auto"/>
        <w:jc w:val="both"/>
      </w:pPr>
      <w:r>
        <w:lastRenderedPageBreak/>
        <w:t>Na kontu donacija za izvještajno razdoblje 1.1.-30.6.2025. godine utvrđen je manji prihod u odnosu na isto razdoblje prethodne godine. Na to je najviše utjecala donacija Erste banke u 2024. godini a koja nije ostvarena tijekom ovog razdoblja u 2025. godini.</w:t>
      </w:r>
    </w:p>
    <w:p w14:paraId="31316794" w14:textId="77777777" w:rsidR="00FA238F" w:rsidRDefault="00FA238F"/>
    <w:p w14:paraId="4F5F680A" w14:textId="77777777" w:rsidR="00FA238F"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1D4C7B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272838"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3EA4FD"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4C6409"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A69D49"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ECE890"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A2BD7F" w14:textId="77777777" w:rsidR="00FA238F" w:rsidRDefault="00000000">
            <w:pPr>
              <w:keepNext/>
              <w:keepLines/>
              <w:spacing w:after="0" w:line="240" w:lineRule="auto"/>
              <w:jc w:val="center"/>
            </w:pPr>
            <w:r>
              <w:rPr>
                <w:b/>
                <w:sz w:val="18"/>
              </w:rPr>
              <w:t>Indeks (%)</w:t>
            </w:r>
          </w:p>
        </w:tc>
      </w:tr>
      <w:tr w:rsidR="00FA238F" w14:paraId="092F334B" w14:textId="77777777">
        <w:tblPrEx>
          <w:tblCellMar>
            <w:top w:w="0" w:type="dxa"/>
            <w:bottom w:w="0" w:type="dxa"/>
          </w:tblCellMar>
        </w:tblPrEx>
        <w:trPr>
          <w:cantSplit/>
          <w:trHeight w:val="560"/>
        </w:trPr>
        <w:tc>
          <w:tcPr>
            <w:tcW w:w="700" w:type="dxa"/>
            <w:tcMar>
              <w:top w:w="0" w:type="dxa"/>
              <w:bottom w:w="0" w:type="dxa"/>
            </w:tcMar>
            <w:vAlign w:val="center"/>
          </w:tcPr>
          <w:p w14:paraId="1A1DE5C8" w14:textId="77777777" w:rsidR="00FA238F" w:rsidRDefault="00000000">
            <w:pPr>
              <w:keepNext/>
              <w:keepLines/>
              <w:spacing w:after="0" w:line="240" w:lineRule="auto"/>
            </w:pPr>
            <w:r>
              <w:rPr>
                <w:sz w:val="18"/>
              </w:rPr>
              <w:t>67</w:t>
            </w:r>
          </w:p>
        </w:tc>
        <w:tc>
          <w:tcPr>
            <w:tcW w:w="3180" w:type="dxa"/>
            <w:tcMar>
              <w:top w:w="0" w:type="dxa"/>
              <w:bottom w:w="0" w:type="dxa"/>
            </w:tcMar>
            <w:vAlign w:val="center"/>
          </w:tcPr>
          <w:p w14:paraId="0804F63D" w14:textId="77777777" w:rsidR="00FA238F"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416727B3" w14:textId="77777777" w:rsidR="00FA238F" w:rsidRDefault="00000000">
            <w:pPr>
              <w:keepNext/>
              <w:keepLines/>
              <w:spacing w:after="0" w:line="240" w:lineRule="auto"/>
            </w:pPr>
            <w:r>
              <w:rPr>
                <w:sz w:val="18"/>
              </w:rPr>
              <w:t>67</w:t>
            </w:r>
          </w:p>
        </w:tc>
        <w:tc>
          <w:tcPr>
            <w:tcW w:w="1860" w:type="dxa"/>
            <w:tcMar>
              <w:top w:w="0" w:type="dxa"/>
              <w:bottom w:w="0" w:type="dxa"/>
            </w:tcMar>
            <w:vAlign w:val="center"/>
          </w:tcPr>
          <w:p w14:paraId="2D6AD7F1" w14:textId="77777777" w:rsidR="00FA238F" w:rsidRDefault="00000000">
            <w:pPr>
              <w:keepNext/>
              <w:keepLines/>
              <w:spacing w:after="0" w:line="240" w:lineRule="auto"/>
              <w:jc w:val="right"/>
            </w:pPr>
            <w:r>
              <w:rPr>
                <w:sz w:val="18"/>
              </w:rPr>
              <w:t>411.736,28</w:t>
            </w:r>
          </w:p>
        </w:tc>
        <w:tc>
          <w:tcPr>
            <w:tcW w:w="1860" w:type="dxa"/>
            <w:tcMar>
              <w:top w:w="0" w:type="dxa"/>
              <w:bottom w:w="0" w:type="dxa"/>
            </w:tcMar>
            <w:vAlign w:val="center"/>
          </w:tcPr>
          <w:p w14:paraId="76EB1130" w14:textId="77777777" w:rsidR="00FA238F" w:rsidRDefault="00000000">
            <w:pPr>
              <w:keepNext/>
              <w:keepLines/>
              <w:spacing w:after="0" w:line="240" w:lineRule="auto"/>
              <w:jc w:val="right"/>
            </w:pPr>
            <w:r>
              <w:rPr>
                <w:sz w:val="18"/>
              </w:rPr>
              <w:t>448.989,03</w:t>
            </w:r>
          </w:p>
        </w:tc>
        <w:tc>
          <w:tcPr>
            <w:tcW w:w="700" w:type="dxa"/>
            <w:tcMar>
              <w:top w:w="0" w:type="dxa"/>
              <w:bottom w:w="0" w:type="dxa"/>
            </w:tcMar>
            <w:vAlign w:val="center"/>
          </w:tcPr>
          <w:p w14:paraId="32FF5A12" w14:textId="77777777" w:rsidR="00FA238F" w:rsidRDefault="00000000">
            <w:pPr>
              <w:keepNext/>
              <w:keepLines/>
              <w:spacing w:after="0" w:line="240" w:lineRule="auto"/>
              <w:jc w:val="right"/>
            </w:pPr>
            <w:r>
              <w:rPr>
                <w:sz w:val="18"/>
              </w:rPr>
              <w:t>109,0</w:t>
            </w:r>
          </w:p>
        </w:tc>
      </w:tr>
    </w:tbl>
    <w:p w14:paraId="72CF740C" w14:textId="77777777" w:rsidR="00FA238F" w:rsidRDefault="00FA238F">
      <w:pPr>
        <w:spacing w:after="0"/>
      </w:pPr>
    </w:p>
    <w:p w14:paraId="1BA3EC38" w14:textId="77777777" w:rsidR="00FA238F" w:rsidRDefault="00000000">
      <w:pPr>
        <w:spacing w:line="240" w:lineRule="auto"/>
        <w:jc w:val="both"/>
      </w:pPr>
      <w:r>
        <w:t>Na poziciji 67 računskog plana ostvareno je 9 % više prihoda u odnosu na prethodnu godinu što se odnosi na povećanje decentraliziranih sredstava  prema Odluci o minimalnim standardima, kriterijima, mjerilu i načinu financiranja decentraliziranih funkcija Doma za starije osobe Bjelovar za 2025. godinu (NN16/25). Povećanje prihoda je bilo nužno zbog povećanih rashoda za djelatnike zbog novih koeficijenata za obračun plaće te osnovice za izračun plaće.</w:t>
      </w:r>
    </w:p>
    <w:p w14:paraId="7AA9DD8F" w14:textId="77777777" w:rsidR="00FA238F" w:rsidRDefault="00FA238F"/>
    <w:p w14:paraId="61A5A026" w14:textId="77777777" w:rsidR="00FA238F"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4EC0DD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FDAC8B"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D12911"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21191E"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CD4042"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26EBD6"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322BA2" w14:textId="77777777" w:rsidR="00FA238F" w:rsidRDefault="00000000">
            <w:pPr>
              <w:keepNext/>
              <w:keepLines/>
              <w:spacing w:after="0" w:line="240" w:lineRule="auto"/>
              <w:jc w:val="center"/>
            </w:pPr>
            <w:r>
              <w:rPr>
                <w:b/>
                <w:sz w:val="18"/>
              </w:rPr>
              <w:t>Indeks (%)</w:t>
            </w:r>
          </w:p>
        </w:tc>
      </w:tr>
      <w:tr w:rsidR="00FA238F" w14:paraId="7D9C69C8" w14:textId="77777777">
        <w:tblPrEx>
          <w:tblCellMar>
            <w:top w:w="0" w:type="dxa"/>
            <w:bottom w:w="0" w:type="dxa"/>
          </w:tblCellMar>
        </w:tblPrEx>
        <w:trPr>
          <w:cantSplit/>
          <w:trHeight w:val="560"/>
        </w:trPr>
        <w:tc>
          <w:tcPr>
            <w:tcW w:w="700" w:type="dxa"/>
            <w:tcMar>
              <w:top w:w="0" w:type="dxa"/>
              <w:bottom w:w="0" w:type="dxa"/>
            </w:tcMar>
            <w:vAlign w:val="center"/>
          </w:tcPr>
          <w:p w14:paraId="57F34818" w14:textId="77777777" w:rsidR="00FA238F" w:rsidRDefault="00000000">
            <w:pPr>
              <w:keepNext/>
              <w:keepLines/>
              <w:spacing w:after="0" w:line="240" w:lineRule="auto"/>
            </w:pPr>
            <w:r>
              <w:rPr>
                <w:sz w:val="18"/>
              </w:rPr>
              <w:t>31</w:t>
            </w:r>
          </w:p>
        </w:tc>
        <w:tc>
          <w:tcPr>
            <w:tcW w:w="3180" w:type="dxa"/>
            <w:tcMar>
              <w:top w:w="0" w:type="dxa"/>
              <w:bottom w:w="0" w:type="dxa"/>
            </w:tcMar>
            <w:vAlign w:val="center"/>
          </w:tcPr>
          <w:p w14:paraId="2B2194A4" w14:textId="77777777" w:rsidR="00FA238F"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42501BD7" w14:textId="77777777" w:rsidR="00FA238F" w:rsidRDefault="00000000">
            <w:pPr>
              <w:keepNext/>
              <w:keepLines/>
              <w:spacing w:after="0" w:line="240" w:lineRule="auto"/>
            </w:pPr>
            <w:r>
              <w:rPr>
                <w:sz w:val="18"/>
              </w:rPr>
              <w:t>31</w:t>
            </w:r>
          </w:p>
        </w:tc>
        <w:tc>
          <w:tcPr>
            <w:tcW w:w="1860" w:type="dxa"/>
            <w:tcMar>
              <w:top w:w="0" w:type="dxa"/>
              <w:bottom w:w="0" w:type="dxa"/>
            </w:tcMar>
            <w:vAlign w:val="center"/>
          </w:tcPr>
          <w:p w14:paraId="1648CCCB" w14:textId="77777777" w:rsidR="00FA238F" w:rsidRDefault="00000000">
            <w:pPr>
              <w:keepNext/>
              <w:keepLines/>
              <w:spacing w:after="0" w:line="240" w:lineRule="auto"/>
              <w:jc w:val="right"/>
            </w:pPr>
            <w:r>
              <w:rPr>
                <w:sz w:val="18"/>
              </w:rPr>
              <w:t>863.919,04</w:t>
            </w:r>
          </w:p>
        </w:tc>
        <w:tc>
          <w:tcPr>
            <w:tcW w:w="1860" w:type="dxa"/>
            <w:tcMar>
              <w:top w:w="0" w:type="dxa"/>
              <w:bottom w:w="0" w:type="dxa"/>
            </w:tcMar>
            <w:vAlign w:val="center"/>
          </w:tcPr>
          <w:p w14:paraId="01E53861" w14:textId="77777777" w:rsidR="00FA238F" w:rsidRDefault="00000000">
            <w:pPr>
              <w:keepNext/>
              <w:keepLines/>
              <w:spacing w:after="0" w:line="240" w:lineRule="auto"/>
              <w:jc w:val="right"/>
            </w:pPr>
            <w:r>
              <w:rPr>
                <w:sz w:val="18"/>
              </w:rPr>
              <w:t>1.165.595,25</w:t>
            </w:r>
          </w:p>
        </w:tc>
        <w:tc>
          <w:tcPr>
            <w:tcW w:w="700" w:type="dxa"/>
            <w:tcMar>
              <w:top w:w="0" w:type="dxa"/>
              <w:bottom w:w="0" w:type="dxa"/>
            </w:tcMar>
            <w:vAlign w:val="center"/>
          </w:tcPr>
          <w:p w14:paraId="51B0904B" w14:textId="77777777" w:rsidR="00FA238F" w:rsidRDefault="00000000">
            <w:pPr>
              <w:keepNext/>
              <w:keepLines/>
              <w:spacing w:after="0" w:line="240" w:lineRule="auto"/>
              <w:jc w:val="right"/>
            </w:pPr>
            <w:r>
              <w:rPr>
                <w:sz w:val="18"/>
              </w:rPr>
              <w:t>134,9</w:t>
            </w:r>
          </w:p>
        </w:tc>
      </w:tr>
    </w:tbl>
    <w:p w14:paraId="74931B02" w14:textId="77777777" w:rsidR="00FA238F" w:rsidRDefault="00FA238F">
      <w:pPr>
        <w:spacing w:after="0"/>
      </w:pPr>
    </w:p>
    <w:p w14:paraId="4A801795" w14:textId="76E27B69" w:rsidR="00FA238F" w:rsidRDefault="00000000">
      <w:pPr>
        <w:spacing w:line="240" w:lineRule="auto"/>
        <w:jc w:val="both"/>
      </w:pPr>
      <w:r>
        <w:t xml:space="preserve">Rashodi za zaposlene uvećani su za 34,9% u </w:t>
      </w:r>
      <w:r w:rsidR="004D50D8">
        <w:t>izvještajnom</w:t>
      </w:r>
      <w:r>
        <w:t xml:space="preserve"> razdoblju od 1.1.-30.6.2025. u odnosu na isti period u 2024. godini odnosno veći su za 301.676,21 eura. Prema novom Pravilniku o proračunskom računovodstvu ukinuti su rashodi budućih razdoblja te je bilo potrebno u siječnju knjižiti rashode za plaću zaposlenih za prosinac 2024. godine i siječanj 2025. godine. Zbog novog Pravilnika u izvještajnom razdoblju nalazi se knjiženo 7 rashoda za zaposlene. Iznos od 193.596,16 eura odnosi se na plaću za prosinac 2024. godine knjiženu u 2025. godini uz 6 redovnih plaća za period od siječnja do lipnja. Ostatak razlike na rashodima za zaposlene odnosi se na povećanje rashoda prema novim koeficijentima koji su važeći od 1. ožujka 2024. godine te zbog porasta osnovice u listopadu 2024. godine i u ožujku 2025. godine.</w:t>
      </w:r>
    </w:p>
    <w:p w14:paraId="2F1592B6" w14:textId="77777777" w:rsidR="00FA238F" w:rsidRDefault="00FA238F"/>
    <w:p w14:paraId="69AA12F3" w14:textId="77777777" w:rsidR="00FA238F"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3B8BDA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A5F561"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C362CE"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B24722"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5FDC70"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987C8C"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EEC1C1" w14:textId="77777777" w:rsidR="00FA238F" w:rsidRDefault="00000000">
            <w:pPr>
              <w:keepNext/>
              <w:keepLines/>
              <w:spacing w:after="0" w:line="240" w:lineRule="auto"/>
              <w:jc w:val="center"/>
            </w:pPr>
            <w:r>
              <w:rPr>
                <w:b/>
                <w:sz w:val="18"/>
              </w:rPr>
              <w:t>Indeks (%)</w:t>
            </w:r>
          </w:p>
        </w:tc>
      </w:tr>
      <w:tr w:rsidR="00FA238F" w14:paraId="62DA39DD" w14:textId="77777777">
        <w:tblPrEx>
          <w:tblCellMar>
            <w:top w:w="0" w:type="dxa"/>
            <w:bottom w:w="0" w:type="dxa"/>
          </w:tblCellMar>
        </w:tblPrEx>
        <w:trPr>
          <w:cantSplit/>
          <w:trHeight w:val="560"/>
        </w:trPr>
        <w:tc>
          <w:tcPr>
            <w:tcW w:w="700" w:type="dxa"/>
            <w:tcMar>
              <w:top w:w="0" w:type="dxa"/>
              <w:bottom w:w="0" w:type="dxa"/>
            </w:tcMar>
            <w:vAlign w:val="center"/>
          </w:tcPr>
          <w:p w14:paraId="7F3B4B92" w14:textId="77777777" w:rsidR="00FA238F" w:rsidRDefault="00000000">
            <w:pPr>
              <w:keepNext/>
              <w:keepLines/>
              <w:spacing w:after="0" w:line="240" w:lineRule="auto"/>
            </w:pPr>
            <w:r>
              <w:rPr>
                <w:sz w:val="18"/>
              </w:rPr>
              <w:t>3223</w:t>
            </w:r>
          </w:p>
        </w:tc>
        <w:tc>
          <w:tcPr>
            <w:tcW w:w="3180" w:type="dxa"/>
            <w:tcMar>
              <w:top w:w="0" w:type="dxa"/>
              <w:bottom w:w="0" w:type="dxa"/>
            </w:tcMar>
            <w:vAlign w:val="center"/>
          </w:tcPr>
          <w:p w14:paraId="20CF135B" w14:textId="77777777" w:rsidR="00FA238F" w:rsidRDefault="00000000">
            <w:pPr>
              <w:keepNext/>
              <w:keepLines/>
              <w:spacing w:after="0" w:line="240" w:lineRule="auto"/>
            </w:pPr>
            <w:r>
              <w:rPr>
                <w:sz w:val="18"/>
              </w:rPr>
              <w:t>Energija</w:t>
            </w:r>
          </w:p>
        </w:tc>
        <w:tc>
          <w:tcPr>
            <w:tcW w:w="700" w:type="dxa"/>
            <w:tcMar>
              <w:top w:w="0" w:type="dxa"/>
              <w:bottom w:w="0" w:type="dxa"/>
            </w:tcMar>
            <w:vAlign w:val="center"/>
          </w:tcPr>
          <w:p w14:paraId="43265284" w14:textId="77777777" w:rsidR="00FA238F" w:rsidRDefault="00000000">
            <w:pPr>
              <w:keepNext/>
              <w:keepLines/>
              <w:spacing w:after="0" w:line="240" w:lineRule="auto"/>
            </w:pPr>
            <w:r>
              <w:rPr>
                <w:sz w:val="18"/>
              </w:rPr>
              <w:t>3223</w:t>
            </w:r>
          </w:p>
        </w:tc>
        <w:tc>
          <w:tcPr>
            <w:tcW w:w="1860" w:type="dxa"/>
            <w:tcMar>
              <w:top w:w="0" w:type="dxa"/>
              <w:bottom w:w="0" w:type="dxa"/>
            </w:tcMar>
            <w:vAlign w:val="center"/>
          </w:tcPr>
          <w:p w14:paraId="30385E3B" w14:textId="77777777" w:rsidR="00FA238F" w:rsidRDefault="00000000">
            <w:pPr>
              <w:keepNext/>
              <w:keepLines/>
              <w:spacing w:after="0" w:line="240" w:lineRule="auto"/>
              <w:jc w:val="right"/>
            </w:pPr>
            <w:r>
              <w:rPr>
                <w:sz w:val="18"/>
              </w:rPr>
              <w:t>80.809,88</w:t>
            </w:r>
          </w:p>
        </w:tc>
        <w:tc>
          <w:tcPr>
            <w:tcW w:w="1860" w:type="dxa"/>
            <w:tcMar>
              <w:top w:w="0" w:type="dxa"/>
              <w:bottom w:w="0" w:type="dxa"/>
            </w:tcMar>
            <w:vAlign w:val="center"/>
          </w:tcPr>
          <w:p w14:paraId="7D83D3D3" w14:textId="77777777" w:rsidR="00FA238F" w:rsidRDefault="00000000">
            <w:pPr>
              <w:keepNext/>
              <w:keepLines/>
              <w:spacing w:after="0" w:line="240" w:lineRule="auto"/>
              <w:jc w:val="right"/>
            </w:pPr>
            <w:r>
              <w:rPr>
                <w:sz w:val="18"/>
              </w:rPr>
              <w:t>87.961,91</w:t>
            </w:r>
          </w:p>
        </w:tc>
        <w:tc>
          <w:tcPr>
            <w:tcW w:w="700" w:type="dxa"/>
            <w:tcMar>
              <w:top w:w="0" w:type="dxa"/>
              <w:bottom w:w="0" w:type="dxa"/>
            </w:tcMar>
            <w:vAlign w:val="center"/>
          </w:tcPr>
          <w:p w14:paraId="4562300D" w14:textId="77777777" w:rsidR="00FA238F" w:rsidRDefault="00000000">
            <w:pPr>
              <w:keepNext/>
              <w:keepLines/>
              <w:spacing w:after="0" w:line="240" w:lineRule="auto"/>
              <w:jc w:val="right"/>
            </w:pPr>
            <w:r>
              <w:rPr>
                <w:sz w:val="18"/>
              </w:rPr>
              <w:t>108,9</w:t>
            </w:r>
          </w:p>
        </w:tc>
      </w:tr>
    </w:tbl>
    <w:p w14:paraId="68EAB6A3" w14:textId="77777777" w:rsidR="00FA238F" w:rsidRDefault="00FA238F">
      <w:pPr>
        <w:spacing w:after="0"/>
      </w:pPr>
    </w:p>
    <w:p w14:paraId="0F6D85E0" w14:textId="19D1012C" w:rsidR="00FA238F" w:rsidRDefault="00000000">
      <w:pPr>
        <w:spacing w:line="240" w:lineRule="auto"/>
        <w:jc w:val="both"/>
      </w:pPr>
      <w:r>
        <w:t xml:space="preserve">Zbog hladnijeg vremena i duže sezone grijanja povećani su </w:t>
      </w:r>
      <w:r w:rsidR="004D50D8">
        <w:t>rashodi</w:t>
      </w:r>
      <w:r>
        <w:t xml:space="preserve"> za energiju za izvještajno razdoblje u 2025. godinu u odnosu na 2024. godinu.</w:t>
      </w:r>
    </w:p>
    <w:p w14:paraId="77B5A31C" w14:textId="77777777" w:rsidR="00FA238F" w:rsidRDefault="00FA238F"/>
    <w:p w14:paraId="0E3F66FB" w14:textId="77777777" w:rsidR="00FA238F"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3FC794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5E5DC3"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3FCC9F"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99ADE2"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B05A78"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8B7D3F"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509096" w14:textId="77777777" w:rsidR="00FA238F" w:rsidRDefault="00000000">
            <w:pPr>
              <w:keepNext/>
              <w:keepLines/>
              <w:spacing w:after="0" w:line="240" w:lineRule="auto"/>
              <w:jc w:val="center"/>
            </w:pPr>
            <w:r>
              <w:rPr>
                <w:b/>
                <w:sz w:val="18"/>
              </w:rPr>
              <w:t>Indeks (%)</w:t>
            </w:r>
          </w:p>
        </w:tc>
      </w:tr>
      <w:tr w:rsidR="00FA238F" w14:paraId="11E9BD39" w14:textId="77777777">
        <w:tblPrEx>
          <w:tblCellMar>
            <w:top w:w="0" w:type="dxa"/>
            <w:bottom w:w="0" w:type="dxa"/>
          </w:tblCellMar>
        </w:tblPrEx>
        <w:trPr>
          <w:cantSplit/>
          <w:trHeight w:val="560"/>
        </w:trPr>
        <w:tc>
          <w:tcPr>
            <w:tcW w:w="700" w:type="dxa"/>
            <w:tcMar>
              <w:top w:w="0" w:type="dxa"/>
              <w:bottom w:w="0" w:type="dxa"/>
            </w:tcMar>
            <w:vAlign w:val="center"/>
          </w:tcPr>
          <w:p w14:paraId="66A7FD31" w14:textId="77777777" w:rsidR="00FA238F" w:rsidRDefault="00000000">
            <w:pPr>
              <w:keepNext/>
              <w:keepLines/>
              <w:spacing w:after="0" w:line="240" w:lineRule="auto"/>
            </w:pPr>
            <w:r>
              <w:rPr>
                <w:sz w:val="18"/>
              </w:rPr>
              <w:t>3232</w:t>
            </w:r>
          </w:p>
        </w:tc>
        <w:tc>
          <w:tcPr>
            <w:tcW w:w="3180" w:type="dxa"/>
            <w:tcMar>
              <w:top w:w="0" w:type="dxa"/>
              <w:bottom w:w="0" w:type="dxa"/>
            </w:tcMar>
            <w:vAlign w:val="center"/>
          </w:tcPr>
          <w:p w14:paraId="55A91F22" w14:textId="77777777" w:rsidR="00FA238F"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541C4F7D" w14:textId="77777777" w:rsidR="00FA238F" w:rsidRDefault="00000000">
            <w:pPr>
              <w:keepNext/>
              <w:keepLines/>
              <w:spacing w:after="0" w:line="240" w:lineRule="auto"/>
            </w:pPr>
            <w:r>
              <w:rPr>
                <w:sz w:val="18"/>
              </w:rPr>
              <w:t>3232</w:t>
            </w:r>
          </w:p>
        </w:tc>
        <w:tc>
          <w:tcPr>
            <w:tcW w:w="1860" w:type="dxa"/>
            <w:tcMar>
              <w:top w:w="0" w:type="dxa"/>
              <w:bottom w:w="0" w:type="dxa"/>
            </w:tcMar>
            <w:vAlign w:val="center"/>
          </w:tcPr>
          <w:p w14:paraId="5D225D14" w14:textId="77777777" w:rsidR="00FA238F" w:rsidRDefault="00000000">
            <w:pPr>
              <w:keepNext/>
              <w:keepLines/>
              <w:spacing w:after="0" w:line="240" w:lineRule="auto"/>
              <w:jc w:val="right"/>
            </w:pPr>
            <w:r>
              <w:rPr>
                <w:sz w:val="18"/>
              </w:rPr>
              <w:t>14.665,91</w:t>
            </w:r>
          </w:p>
        </w:tc>
        <w:tc>
          <w:tcPr>
            <w:tcW w:w="1860" w:type="dxa"/>
            <w:tcMar>
              <w:top w:w="0" w:type="dxa"/>
              <w:bottom w:w="0" w:type="dxa"/>
            </w:tcMar>
            <w:vAlign w:val="center"/>
          </w:tcPr>
          <w:p w14:paraId="0A59ACF9" w14:textId="77777777" w:rsidR="00FA238F" w:rsidRDefault="00000000">
            <w:pPr>
              <w:keepNext/>
              <w:keepLines/>
              <w:spacing w:after="0" w:line="240" w:lineRule="auto"/>
              <w:jc w:val="right"/>
            </w:pPr>
            <w:r>
              <w:rPr>
                <w:sz w:val="18"/>
              </w:rPr>
              <w:t>18.590,41</w:t>
            </w:r>
          </w:p>
        </w:tc>
        <w:tc>
          <w:tcPr>
            <w:tcW w:w="700" w:type="dxa"/>
            <w:tcMar>
              <w:top w:w="0" w:type="dxa"/>
              <w:bottom w:w="0" w:type="dxa"/>
            </w:tcMar>
            <w:vAlign w:val="center"/>
          </w:tcPr>
          <w:p w14:paraId="2D4D84BB" w14:textId="77777777" w:rsidR="00FA238F" w:rsidRDefault="00000000">
            <w:pPr>
              <w:keepNext/>
              <w:keepLines/>
              <w:spacing w:after="0" w:line="240" w:lineRule="auto"/>
              <w:jc w:val="right"/>
            </w:pPr>
            <w:r>
              <w:rPr>
                <w:sz w:val="18"/>
              </w:rPr>
              <w:t>126,8</w:t>
            </w:r>
          </w:p>
        </w:tc>
      </w:tr>
    </w:tbl>
    <w:p w14:paraId="4F0CEB87" w14:textId="77777777" w:rsidR="00FA238F" w:rsidRDefault="00FA238F">
      <w:pPr>
        <w:spacing w:after="0"/>
      </w:pPr>
    </w:p>
    <w:p w14:paraId="3DB4803F" w14:textId="77777777" w:rsidR="00FA238F" w:rsidRDefault="00000000">
      <w:pPr>
        <w:spacing w:line="240" w:lineRule="auto"/>
        <w:jc w:val="both"/>
      </w:pPr>
      <w:r>
        <w:t>Zbog dotrajalosti opreme i uređaja povećani su troškovi održavanja za 26.8%. Dodatnim ulaganjima u dizalo na objektu B umanjiti će se troškovi budućeg održavanja za to dizalo, a do kraja godine krenuti će se i s radovima na dizalu u objektu A te na taj način će se smanjiti troškovi održavanja.</w:t>
      </w:r>
    </w:p>
    <w:p w14:paraId="50A8C16F" w14:textId="77777777" w:rsidR="00FA238F" w:rsidRDefault="00FA238F"/>
    <w:p w14:paraId="7511A347" w14:textId="77777777" w:rsidR="00FA238F"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0F5027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B1C079"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31A829"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0D34AA"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AA3CB1"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E73176"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614991" w14:textId="77777777" w:rsidR="00FA238F" w:rsidRDefault="00000000">
            <w:pPr>
              <w:keepNext/>
              <w:keepLines/>
              <w:spacing w:after="0" w:line="240" w:lineRule="auto"/>
              <w:jc w:val="center"/>
            </w:pPr>
            <w:r>
              <w:rPr>
                <w:b/>
                <w:sz w:val="18"/>
              </w:rPr>
              <w:t>Indeks (%)</w:t>
            </w:r>
          </w:p>
        </w:tc>
      </w:tr>
      <w:tr w:rsidR="00FA238F" w14:paraId="77B8D7E0" w14:textId="77777777">
        <w:tblPrEx>
          <w:tblCellMar>
            <w:top w:w="0" w:type="dxa"/>
            <w:bottom w:w="0" w:type="dxa"/>
          </w:tblCellMar>
        </w:tblPrEx>
        <w:trPr>
          <w:cantSplit/>
          <w:trHeight w:val="560"/>
        </w:trPr>
        <w:tc>
          <w:tcPr>
            <w:tcW w:w="700" w:type="dxa"/>
            <w:tcMar>
              <w:top w:w="0" w:type="dxa"/>
              <w:bottom w:w="0" w:type="dxa"/>
            </w:tcMar>
            <w:vAlign w:val="center"/>
          </w:tcPr>
          <w:p w14:paraId="110376B4" w14:textId="77777777" w:rsidR="00FA238F" w:rsidRDefault="00000000">
            <w:pPr>
              <w:keepNext/>
              <w:keepLines/>
              <w:spacing w:after="0" w:line="240" w:lineRule="auto"/>
            </w:pPr>
            <w:r>
              <w:rPr>
                <w:sz w:val="18"/>
              </w:rPr>
              <w:t>3233</w:t>
            </w:r>
          </w:p>
        </w:tc>
        <w:tc>
          <w:tcPr>
            <w:tcW w:w="3180" w:type="dxa"/>
            <w:tcMar>
              <w:top w:w="0" w:type="dxa"/>
              <w:bottom w:w="0" w:type="dxa"/>
            </w:tcMar>
            <w:vAlign w:val="center"/>
          </w:tcPr>
          <w:p w14:paraId="4CED8F49" w14:textId="77777777" w:rsidR="00FA238F"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509ED0B0" w14:textId="77777777" w:rsidR="00FA238F" w:rsidRDefault="00000000">
            <w:pPr>
              <w:keepNext/>
              <w:keepLines/>
              <w:spacing w:after="0" w:line="240" w:lineRule="auto"/>
            </w:pPr>
            <w:r>
              <w:rPr>
                <w:sz w:val="18"/>
              </w:rPr>
              <w:t>3233</w:t>
            </w:r>
          </w:p>
        </w:tc>
        <w:tc>
          <w:tcPr>
            <w:tcW w:w="1860" w:type="dxa"/>
            <w:tcMar>
              <w:top w:w="0" w:type="dxa"/>
              <w:bottom w:w="0" w:type="dxa"/>
            </w:tcMar>
            <w:vAlign w:val="center"/>
          </w:tcPr>
          <w:p w14:paraId="77B8E2B9" w14:textId="77777777" w:rsidR="00FA238F" w:rsidRDefault="00000000">
            <w:pPr>
              <w:keepNext/>
              <w:keepLines/>
              <w:spacing w:after="0" w:line="240" w:lineRule="auto"/>
              <w:jc w:val="right"/>
            </w:pPr>
            <w:r>
              <w:rPr>
                <w:sz w:val="18"/>
              </w:rPr>
              <w:t>373,72</w:t>
            </w:r>
          </w:p>
        </w:tc>
        <w:tc>
          <w:tcPr>
            <w:tcW w:w="1860" w:type="dxa"/>
            <w:tcMar>
              <w:top w:w="0" w:type="dxa"/>
              <w:bottom w:w="0" w:type="dxa"/>
            </w:tcMar>
            <w:vAlign w:val="center"/>
          </w:tcPr>
          <w:p w14:paraId="0ADEDDE7" w14:textId="77777777" w:rsidR="00FA238F" w:rsidRDefault="00000000">
            <w:pPr>
              <w:keepNext/>
              <w:keepLines/>
              <w:spacing w:after="0" w:line="240" w:lineRule="auto"/>
              <w:jc w:val="right"/>
            </w:pPr>
            <w:r>
              <w:rPr>
                <w:sz w:val="18"/>
              </w:rPr>
              <w:t>982,57</w:t>
            </w:r>
          </w:p>
        </w:tc>
        <w:tc>
          <w:tcPr>
            <w:tcW w:w="700" w:type="dxa"/>
            <w:tcMar>
              <w:top w:w="0" w:type="dxa"/>
              <w:bottom w:w="0" w:type="dxa"/>
            </w:tcMar>
            <w:vAlign w:val="center"/>
          </w:tcPr>
          <w:p w14:paraId="22F3A2CA" w14:textId="77777777" w:rsidR="00FA238F" w:rsidRDefault="00000000">
            <w:pPr>
              <w:keepNext/>
              <w:keepLines/>
              <w:spacing w:after="0" w:line="240" w:lineRule="auto"/>
              <w:jc w:val="right"/>
            </w:pPr>
            <w:r>
              <w:rPr>
                <w:sz w:val="18"/>
              </w:rPr>
              <w:t>262,9</w:t>
            </w:r>
          </w:p>
        </w:tc>
      </w:tr>
    </w:tbl>
    <w:p w14:paraId="093EAAEF" w14:textId="77777777" w:rsidR="00FA238F" w:rsidRDefault="00FA238F">
      <w:pPr>
        <w:spacing w:after="0"/>
      </w:pPr>
    </w:p>
    <w:p w14:paraId="44303E5C" w14:textId="77777777" w:rsidR="00FA238F" w:rsidRDefault="00000000">
      <w:pPr>
        <w:spacing w:line="240" w:lineRule="auto"/>
        <w:jc w:val="both"/>
      </w:pPr>
      <w:r>
        <w:t>U izvještajnom razdoblju bilo je objavljeno više natječaja za javnu nabavu i natječaja za zapošljavanje u odnosu na prethodnu godinu.</w:t>
      </w:r>
    </w:p>
    <w:p w14:paraId="09D5175B" w14:textId="77777777" w:rsidR="00FA238F" w:rsidRDefault="00FA238F"/>
    <w:p w14:paraId="4EEDBFEC" w14:textId="77777777" w:rsidR="00FA238F"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2E8075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E88D9D"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8D8173"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ABE235"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11E564"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9A1AE0"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05CC6E" w14:textId="77777777" w:rsidR="00FA238F" w:rsidRDefault="00000000">
            <w:pPr>
              <w:keepNext/>
              <w:keepLines/>
              <w:spacing w:after="0" w:line="240" w:lineRule="auto"/>
              <w:jc w:val="center"/>
            </w:pPr>
            <w:r>
              <w:rPr>
                <w:b/>
                <w:sz w:val="18"/>
              </w:rPr>
              <w:t>Indeks (%)</w:t>
            </w:r>
          </w:p>
        </w:tc>
      </w:tr>
      <w:tr w:rsidR="00FA238F" w14:paraId="7D3A192B" w14:textId="77777777">
        <w:tblPrEx>
          <w:tblCellMar>
            <w:top w:w="0" w:type="dxa"/>
            <w:bottom w:w="0" w:type="dxa"/>
          </w:tblCellMar>
        </w:tblPrEx>
        <w:trPr>
          <w:cantSplit/>
          <w:trHeight w:val="560"/>
        </w:trPr>
        <w:tc>
          <w:tcPr>
            <w:tcW w:w="700" w:type="dxa"/>
            <w:tcMar>
              <w:top w:w="0" w:type="dxa"/>
              <w:bottom w:w="0" w:type="dxa"/>
            </w:tcMar>
            <w:vAlign w:val="center"/>
          </w:tcPr>
          <w:p w14:paraId="112D308D" w14:textId="77777777" w:rsidR="00FA238F" w:rsidRDefault="00000000">
            <w:pPr>
              <w:keepNext/>
              <w:keepLines/>
              <w:spacing w:after="0" w:line="240" w:lineRule="auto"/>
            </w:pPr>
            <w:r>
              <w:rPr>
                <w:sz w:val="18"/>
              </w:rPr>
              <w:t>3234</w:t>
            </w:r>
          </w:p>
        </w:tc>
        <w:tc>
          <w:tcPr>
            <w:tcW w:w="3180" w:type="dxa"/>
            <w:tcMar>
              <w:top w:w="0" w:type="dxa"/>
              <w:bottom w:w="0" w:type="dxa"/>
            </w:tcMar>
            <w:vAlign w:val="center"/>
          </w:tcPr>
          <w:p w14:paraId="0DAC5842" w14:textId="77777777" w:rsidR="00FA238F" w:rsidRDefault="00000000">
            <w:pPr>
              <w:keepNext/>
              <w:keepLines/>
              <w:spacing w:after="0" w:line="240" w:lineRule="auto"/>
            </w:pPr>
            <w:r>
              <w:rPr>
                <w:sz w:val="18"/>
              </w:rPr>
              <w:t>Komunalne usluge</w:t>
            </w:r>
          </w:p>
        </w:tc>
        <w:tc>
          <w:tcPr>
            <w:tcW w:w="700" w:type="dxa"/>
            <w:tcMar>
              <w:top w:w="0" w:type="dxa"/>
              <w:bottom w:w="0" w:type="dxa"/>
            </w:tcMar>
            <w:vAlign w:val="center"/>
          </w:tcPr>
          <w:p w14:paraId="27C296F2" w14:textId="77777777" w:rsidR="00FA238F" w:rsidRDefault="00000000">
            <w:pPr>
              <w:keepNext/>
              <w:keepLines/>
              <w:spacing w:after="0" w:line="240" w:lineRule="auto"/>
            </w:pPr>
            <w:r>
              <w:rPr>
                <w:sz w:val="18"/>
              </w:rPr>
              <w:t>3234</w:t>
            </w:r>
          </w:p>
        </w:tc>
        <w:tc>
          <w:tcPr>
            <w:tcW w:w="1860" w:type="dxa"/>
            <w:tcMar>
              <w:top w:w="0" w:type="dxa"/>
              <w:bottom w:w="0" w:type="dxa"/>
            </w:tcMar>
            <w:vAlign w:val="center"/>
          </w:tcPr>
          <w:p w14:paraId="6F2599E1" w14:textId="77777777" w:rsidR="00FA238F" w:rsidRDefault="00000000">
            <w:pPr>
              <w:keepNext/>
              <w:keepLines/>
              <w:spacing w:after="0" w:line="240" w:lineRule="auto"/>
              <w:jc w:val="right"/>
            </w:pPr>
            <w:r>
              <w:rPr>
                <w:sz w:val="18"/>
              </w:rPr>
              <w:t>39.206,73</w:t>
            </w:r>
          </w:p>
        </w:tc>
        <w:tc>
          <w:tcPr>
            <w:tcW w:w="1860" w:type="dxa"/>
            <w:tcMar>
              <w:top w:w="0" w:type="dxa"/>
              <w:bottom w:w="0" w:type="dxa"/>
            </w:tcMar>
            <w:vAlign w:val="center"/>
          </w:tcPr>
          <w:p w14:paraId="108D3006" w14:textId="77777777" w:rsidR="00FA238F" w:rsidRDefault="00000000">
            <w:pPr>
              <w:keepNext/>
              <w:keepLines/>
              <w:spacing w:after="0" w:line="240" w:lineRule="auto"/>
              <w:jc w:val="right"/>
            </w:pPr>
            <w:r>
              <w:rPr>
                <w:sz w:val="18"/>
              </w:rPr>
              <w:t>44.043,02</w:t>
            </w:r>
          </w:p>
        </w:tc>
        <w:tc>
          <w:tcPr>
            <w:tcW w:w="700" w:type="dxa"/>
            <w:tcMar>
              <w:top w:w="0" w:type="dxa"/>
              <w:bottom w:w="0" w:type="dxa"/>
            </w:tcMar>
            <w:vAlign w:val="center"/>
          </w:tcPr>
          <w:p w14:paraId="1377FD38" w14:textId="77777777" w:rsidR="00FA238F" w:rsidRDefault="00000000">
            <w:pPr>
              <w:keepNext/>
              <w:keepLines/>
              <w:spacing w:after="0" w:line="240" w:lineRule="auto"/>
              <w:jc w:val="right"/>
            </w:pPr>
            <w:r>
              <w:rPr>
                <w:sz w:val="18"/>
              </w:rPr>
              <w:t>112,3</w:t>
            </w:r>
          </w:p>
        </w:tc>
      </w:tr>
    </w:tbl>
    <w:p w14:paraId="38E47FEE" w14:textId="77777777" w:rsidR="00FA238F" w:rsidRDefault="00FA238F">
      <w:pPr>
        <w:spacing w:after="0"/>
      </w:pPr>
    </w:p>
    <w:p w14:paraId="310CAA4C" w14:textId="77777777" w:rsidR="00FA238F" w:rsidRDefault="00000000">
      <w:pPr>
        <w:spacing w:line="240" w:lineRule="auto"/>
        <w:jc w:val="both"/>
      </w:pPr>
      <w:r>
        <w:t>Tijekom 2025. godine povećan je rashod na komunalnim uslugama a do povećanja je došlo zbog mnogih procesa tretiranja deratizacije i dezinsekcije prostora te za održavanje travnate površine i rezidbe drveća u okruženju Doma koje je bilo neophodno zbog dužeg neodržavanja.</w:t>
      </w:r>
    </w:p>
    <w:p w14:paraId="4DEE0179" w14:textId="77777777" w:rsidR="00FA238F" w:rsidRDefault="00FA238F"/>
    <w:p w14:paraId="3EBB4CF5" w14:textId="77777777" w:rsidR="00FA238F"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0E08B0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843037"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3A8653"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3FD78D"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3CF4F2"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8DAEA5"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71DBC3" w14:textId="77777777" w:rsidR="00FA238F" w:rsidRDefault="00000000">
            <w:pPr>
              <w:keepNext/>
              <w:keepLines/>
              <w:spacing w:after="0" w:line="240" w:lineRule="auto"/>
              <w:jc w:val="center"/>
            </w:pPr>
            <w:r>
              <w:rPr>
                <w:b/>
                <w:sz w:val="18"/>
              </w:rPr>
              <w:t>Indeks (%)</w:t>
            </w:r>
          </w:p>
        </w:tc>
      </w:tr>
      <w:tr w:rsidR="00FA238F" w14:paraId="5E2E3ED8" w14:textId="77777777">
        <w:tblPrEx>
          <w:tblCellMar>
            <w:top w:w="0" w:type="dxa"/>
            <w:bottom w:w="0" w:type="dxa"/>
          </w:tblCellMar>
        </w:tblPrEx>
        <w:trPr>
          <w:cantSplit/>
          <w:trHeight w:val="560"/>
        </w:trPr>
        <w:tc>
          <w:tcPr>
            <w:tcW w:w="700" w:type="dxa"/>
            <w:tcMar>
              <w:top w:w="0" w:type="dxa"/>
              <w:bottom w:w="0" w:type="dxa"/>
            </w:tcMar>
            <w:vAlign w:val="center"/>
          </w:tcPr>
          <w:p w14:paraId="7E62C888" w14:textId="77777777" w:rsidR="00FA238F" w:rsidRDefault="00000000">
            <w:pPr>
              <w:keepNext/>
              <w:keepLines/>
              <w:spacing w:after="0" w:line="240" w:lineRule="auto"/>
            </w:pPr>
            <w:r>
              <w:rPr>
                <w:sz w:val="18"/>
              </w:rPr>
              <w:t>3235</w:t>
            </w:r>
          </w:p>
        </w:tc>
        <w:tc>
          <w:tcPr>
            <w:tcW w:w="3180" w:type="dxa"/>
            <w:tcMar>
              <w:top w:w="0" w:type="dxa"/>
              <w:bottom w:w="0" w:type="dxa"/>
            </w:tcMar>
            <w:vAlign w:val="center"/>
          </w:tcPr>
          <w:p w14:paraId="2EB40710" w14:textId="77777777" w:rsidR="00FA238F" w:rsidRDefault="00000000">
            <w:pPr>
              <w:keepNext/>
              <w:keepLines/>
              <w:spacing w:after="0" w:line="240" w:lineRule="auto"/>
            </w:pPr>
            <w:r>
              <w:rPr>
                <w:sz w:val="18"/>
              </w:rPr>
              <w:t>Zakupnine i najamnine</w:t>
            </w:r>
          </w:p>
        </w:tc>
        <w:tc>
          <w:tcPr>
            <w:tcW w:w="700" w:type="dxa"/>
            <w:tcMar>
              <w:top w:w="0" w:type="dxa"/>
              <w:bottom w:w="0" w:type="dxa"/>
            </w:tcMar>
            <w:vAlign w:val="center"/>
          </w:tcPr>
          <w:p w14:paraId="4B7FBBD1" w14:textId="77777777" w:rsidR="00FA238F" w:rsidRDefault="00000000">
            <w:pPr>
              <w:keepNext/>
              <w:keepLines/>
              <w:spacing w:after="0" w:line="240" w:lineRule="auto"/>
            </w:pPr>
            <w:r>
              <w:rPr>
                <w:sz w:val="18"/>
              </w:rPr>
              <w:t>3235</w:t>
            </w:r>
          </w:p>
        </w:tc>
        <w:tc>
          <w:tcPr>
            <w:tcW w:w="1860" w:type="dxa"/>
            <w:tcMar>
              <w:top w:w="0" w:type="dxa"/>
              <w:bottom w:w="0" w:type="dxa"/>
            </w:tcMar>
            <w:vAlign w:val="center"/>
          </w:tcPr>
          <w:p w14:paraId="7E5513F1" w14:textId="77777777" w:rsidR="00FA238F" w:rsidRDefault="00000000">
            <w:pPr>
              <w:keepNext/>
              <w:keepLines/>
              <w:spacing w:after="0" w:line="240" w:lineRule="auto"/>
              <w:jc w:val="right"/>
            </w:pPr>
            <w:r>
              <w:rPr>
                <w:sz w:val="18"/>
              </w:rPr>
              <w:t>398,13</w:t>
            </w:r>
          </w:p>
        </w:tc>
        <w:tc>
          <w:tcPr>
            <w:tcW w:w="1860" w:type="dxa"/>
            <w:tcMar>
              <w:top w:w="0" w:type="dxa"/>
              <w:bottom w:w="0" w:type="dxa"/>
            </w:tcMar>
            <w:vAlign w:val="center"/>
          </w:tcPr>
          <w:p w14:paraId="20EB0EA5" w14:textId="77777777" w:rsidR="00FA238F" w:rsidRDefault="00000000">
            <w:pPr>
              <w:keepNext/>
              <w:keepLines/>
              <w:spacing w:after="0" w:line="240" w:lineRule="auto"/>
              <w:jc w:val="right"/>
            </w:pPr>
            <w:r>
              <w:rPr>
                <w:sz w:val="18"/>
              </w:rPr>
              <w:t>702,40</w:t>
            </w:r>
          </w:p>
        </w:tc>
        <w:tc>
          <w:tcPr>
            <w:tcW w:w="700" w:type="dxa"/>
            <w:tcMar>
              <w:top w:w="0" w:type="dxa"/>
              <w:bottom w:w="0" w:type="dxa"/>
            </w:tcMar>
            <w:vAlign w:val="center"/>
          </w:tcPr>
          <w:p w14:paraId="749DA0C9" w14:textId="77777777" w:rsidR="00FA238F" w:rsidRDefault="00000000">
            <w:pPr>
              <w:keepNext/>
              <w:keepLines/>
              <w:spacing w:after="0" w:line="240" w:lineRule="auto"/>
              <w:jc w:val="right"/>
            </w:pPr>
            <w:r>
              <w:rPr>
                <w:sz w:val="18"/>
              </w:rPr>
              <w:t>176,4</w:t>
            </w:r>
          </w:p>
        </w:tc>
      </w:tr>
    </w:tbl>
    <w:p w14:paraId="2F2DE02D" w14:textId="77777777" w:rsidR="00FA238F" w:rsidRDefault="00FA238F">
      <w:pPr>
        <w:spacing w:after="0"/>
      </w:pPr>
    </w:p>
    <w:p w14:paraId="0DFDF3EB" w14:textId="77777777" w:rsidR="00FA238F" w:rsidRDefault="00000000">
      <w:pPr>
        <w:spacing w:line="240" w:lineRule="auto"/>
        <w:jc w:val="both"/>
      </w:pPr>
      <w:r>
        <w:t>Najam fotokopirnog uređaja nije se u 2024. godini provodio od početka godine te je zbog toga u promatranom razdoblju taj rashod veći u 2025. godini.</w:t>
      </w:r>
    </w:p>
    <w:p w14:paraId="6283427B" w14:textId="77777777" w:rsidR="00FA238F" w:rsidRDefault="00FA238F"/>
    <w:p w14:paraId="609A46CB" w14:textId="77777777" w:rsidR="00FA238F"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509C7D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9AB8FC"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B749DA"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9913C7"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987C21"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DED8B9"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2D3023" w14:textId="77777777" w:rsidR="00FA238F" w:rsidRDefault="00000000">
            <w:pPr>
              <w:keepNext/>
              <w:keepLines/>
              <w:spacing w:after="0" w:line="240" w:lineRule="auto"/>
              <w:jc w:val="center"/>
            </w:pPr>
            <w:r>
              <w:rPr>
                <w:b/>
                <w:sz w:val="18"/>
              </w:rPr>
              <w:t>Indeks (%)</w:t>
            </w:r>
          </w:p>
        </w:tc>
      </w:tr>
      <w:tr w:rsidR="00FA238F" w14:paraId="26E2F0A3" w14:textId="77777777">
        <w:tblPrEx>
          <w:tblCellMar>
            <w:top w:w="0" w:type="dxa"/>
            <w:bottom w:w="0" w:type="dxa"/>
          </w:tblCellMar>
        </w:tblPrEx>
        <w:trPr>
          <w:cantSplit/>
          <w:trHeight w:val="560"/>
        </w:trPr>
        <w:tc>
          <w:tcPr>
            <w:tcW w:w="700" w:type="dxa"/>
            <w:tcMar>
              <w:top w:w="0" w:type="dxa"/>
              <w:bottom w:w="0" w:type="dxa"/>
            </w:tcMar>
            <w:vAlign w:val="center"/>
          </w:tcPr>
          <w:p w14:paraId="1E7A94EB" w14:textId="77777777" w:rsidR="00FA238F" w:rsidRDefault="00000000">
            <w:pPr>
              <w:keepNext/>
              <w:keepLines/>
              <w:spacing w:after="0" w:line="240" w:lineRule="auto"/>
            </w:pPr>
            <w:r>
              <w:rPr>
                <w:sz w:val="18"/>
              </w:rPr>
              <w:t>3237</w:t>
            </w:r>
          </w:p>
        </w:tc>
        <w:tc>
          <w:tcPr>
            <w:tcW w:w="3180" w:type="dxa"/>
            <w:tcMar>
              <w:top w:w="0" w:type="dxa"/>
              <w:bottom w:w="0" w:type="dxa"/>
            </w:tcMar>
            <w:vAlign w:val="center"/>
          </w:tcPr>
          <w:p w14:paraId="5FAFBAFC" w14:textId="77777777" w:rsidR="00FA238F"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73A5378D" w14:textId="77777777" w:rsidR="00FA238F" w:rsidRDefault="00000000">
            <w:pPr>
              <w:keepNext/>
              <w:keepLines/>
              <w:spacing w:after="0" w:line="240" w:lineRule="auto"/>
            </w:pPr>
            <w:r>
              <w:rPr>
                <w:sz w:val="18"/>
              </w:rPr>
              <w:t>3237</w:t>
            </w:r>
          </w:p>
        </w:tc>
        <w:tc>
          <w:tcPr>
            <w:tcW w:w="1860" w:type="dxa"/>
            <w:tcMar>
              <w:top w:w="0" w:type="dxa"/>
              <w:bottom w:w="0" w:type="dxa"/>
            </w:tcMar>
            <w:vAlign w:val="center"/>
          </w:tcPr>
          <w:p w14:paraId="24510C8B" w14:textId="77777777" w:rsidR="00FA238F" w:rsidRDefault="00000000">
            <w:pPr>
              <w:keepNext/>
              <w:keepLines/>
              <w:spacing w:after="0" w:line="240" w:lineRule="auto"/>
              <w:jc w:val="right"/>
            </w:pPr>
            <w:r>
              <w:rPr>
                <w:sz w:val="18"/>
              </w:rPr>
              <w:t>2.949,90</w:t>
            </w:r>
          </w:p>
        </w:tc>
        <w:tc>
          <w:tcPr>
            <w:tcW w:w="1860" w:type="dxa"/>
            <w:tcMar>
              <w:top w:w="0" w:type="dxa"/>
              <w:bottom w:w="0" w:type="dxa"/>
            </w:tcMar>
            <w:vAlign w:val="center"/>
          </w:tcPr>
          <w:p w14:paraId="545AEEC3" w14:textId="77777777" w:rsidR="00FA238F" w:rsidRDefault="00000000">
            <w:pPr>
              <w:keepNext/>
              <w:keepLines/>
              <w:spacing w:after="0" w:line="240" w:lineRule="auto"/>
              <w:jc w:val="right"/>
            </w:pPr>
            <w:r>
              <w:rPr>
                <w:sz w:val="18"/>
              </w:rPr>
              <w:t>6.180,12</w:t>
            </w:r>
          </w:p>
        </w:tc>
        <w:tc>
          <w:tcPr>
            <w:tcW w:w="700" w:type="dxa"/>
            <w:tcMar>
              <w:top w:w="0" w:type="dxa"/>
              <w:bottom w:w="0" w:type="dxa"/>
            </w:tcMar>
            <w:vAlign w:val="center"/>
          </w:tcPr>
          <w:p w14:paraId="3F868682" w14:textId="77777777" w:rsidR="00FA238F" w:rsidRDefault="00000000">
            <w:pPr>
              <w:keepNext/>
              <w:keepLines/>
              <w:spacing w:after="0" w:line="240" w:lineRule="auto"/>
              <w:jc w:val="right"/>
            </w:pPr>
            <w:r>
              <w:rPr>
                <w:sz w:val="18"/>
              </w:rPr>
              <w:t>209,5</w:t>
            </w:r>
          </w:p>
        </w:tc>
      </w:tr>
    </w:tbl>
    <w:p w14:paraId="6B3654A9" w14:textId="77777777" w:rsidR="00FA238F" w:rsidRDefault="00FA238F">
      <w:pPr>
        <w:spacing w:after="0"/>
      </w:pPr>
    </w:p>
    <w:p w14:paraId="1E5AC11F" w14:textId="77777777" w:rsidR="00FA238F" w:rsidRDefault="00000000">
      <w:pPr>
        <w:spacing w:line="240" w:lineRule="auto"/>
        <w:jc w:val="both"/>
      </w:pPr>
      <w:r>
        <w:t>Povećan je rashod za intelektualne usluge zbog povećanja troška pravnih vanjskih usluga i odvjetničkih usluga u sporovima koji se vode.</w:t>
      </w:r>
    </w:p>
    <w:p w14:paraId="1AAF8121" w14:textId="77777777" w:rsidR="00FA238F" w:rsidRDefault="00FA238F"/>
    <w:p w14:paraId="59F991AC" w14:textId="77777777" w:rsidR="00FA238F"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0A9B99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5666A6"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ACCF1D"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925916"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707AC1"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222F2E"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78D54B" w14:textId="77777777" w:rsidR="00FA238F" w:rsidRDefault="00000000">
            <w:pPr>
              <w:keepNext/>
              <w:keepLines/>
              <w:spacing w:after="0" w:line="240" w:lineRule="auto"/>
              <w:jc w:val="center"/>
            </w:pPr>
            <w:r>
              <w:rPr>
                <w:b/>
                <w:sz w:val="18"/>
              </w:rPr>
              <w:t>Indeks (%)</w:t>
            </w:r>
          </w:p>
        </w:tc>
      </w:tr>
      <w:tr w:rsidR="00FA238F" w14:paraId="3E0247DD" w14:textId="77777777">
        <w:tblPrEx>
          <w:tblCellMar>
            <w:top w:w="0" w:type="dxa"/>
            <w:bottom w:w="0" w:type="dxa"/>
          </w:tblCellMar>
        </w:tblPrEx>
        <w:trPr>
          <w:cantSplit/>
          <w:trHeight w:val="560"/>
        </w:trPr>
        <w:tc>
          <w:tcPr>
            <w:tcW w:w="700" w:type="dxa"/>
            <w:tcMar>
              <w:top w:w="0" w:type="dxa"/>
              <w:bottom w:w="0" w:type="dxa"/>
            </w:tcMar>
            <w:vAlign w:val="center"/>
          </w:tcPr>
          <w:p w14:paraId="0E59DC1E" w14:textId="77777777" w:rsidR="00FA238F" w:rsidRDefault="00000000">
            <w:pPr>
              <w:keepNext/>
              <w:keepLines/>
              <w:spacing w:after="0" w:line="240" w:lineRule="auto"/>
            </w:pPr>
            <w:r>
              <w:rPr>
                <w:sz w:val="18"/>
              </w:rPr>
              <w:t>3238</w:t>
            </w:r>
          </w:p>
        </w:tc>
        <w:tc>
          <w:tcPr>
            <w:tcW w:w="3180" w:type="dxa"/>
            <w:tcMar>
              <w:top w:w="0" w:type="dxa"/>
              <w:bottom w:w="0" w:type="dxa"/>
            </w:tcMar>
            <w:vAlign w:val="center"/>
          </w:tcPr>
          <w:p w14:paraId="285E257E" w14:textId="77777777" w:rsidR="00FA238F" w:rsidRDefault="00000000">
            <w:pPr>
              <w:keepNext/>
              <w:keepLines/>
              <w:spacing w:after="0" w:line="240" w:lineRule="auto"/>
            </w:pPr>
            <w:r>
              <w:rPr>
                <w:sz w:val="18"/>
              </w:rPr>
              <w:t>Računalne usluge</w:t>
            </w:r>
          </w:p>
        </w:tc>
        <w:tc>
          <w:tcPr>
            <w:tcW w:w="700" w:type="dxa"/>
            <w:tcMar>
              <w:top w:w="0" w:type="dxa"/>
              <w:bottom w:w="0" w:type="dxa"/>
            </w:tcMar>
            <w:vAlign w:val="center"/>
          </w:tcPr>
          <w:p w14:paraId="3ED12E43" w14:textId="77777777" w:rsidR="00FA238F" w:rsidRDefault="00000000">
            <w:pPr>
              <w:keepNext/>
              <w:keepLines/>
              <w:spacing w:after="0" w:line="240" w:lineRule="auto"/>
            </w:pPr>
            <w:r>
              <w:rPr>
                <w:sz w:val="18"/>
              </w:rPr>
              <w:t>3238</w:t>
            </w:r>
          </w:p>
        </w:tc>
        <w:tc>
          <w:tcPr>
            <w:tcW w:w="1860" w:type="dxa"/>
            <w:tcMar>
              <w:top w:w="0" w:type="dxa"/>
              <w:bottom w:w="0" w:type="dxa"/>
            </w:tcMar>
            <w:vAlign w:val="center"/>
          </w:tcPr>
          <w:p w14:paraId="79E891DC" w14:textId="77777777" w:rsidR="00FA238F" w:rsidRDefault="00000000">
            <w:pPr>
              <w:keepNext/>
              <w:keepLines/>
              <w:spacing w:after="0" w:line="240" w:lineRule="auto"/>
              <w:jc w:val="right"/>
            </w:pPr>
            <w:r>
              <w:rPr>
                <w:sz w:val="18"/>
              </w:rPr>
              <w:t>10.506,76</w:t>
            </w:r>
          </w:p>
        </w:tc>
        <w:tc>
          <w:tcPr>
            <w:tcW w:w="1860" w:type="dxa"/>
            <w:tcMar>
              <w:top w:w="0" w:type="dxa"/>
              <w:bottom w:w="0" w:type="dxa"/>
            </w:tcMar>
            <w:vAlign w:val="center"/>
          </w:tcPr>
          <w:p w14:paraId="6A3096BC" w14:textId="77777777" w:rsidR="00FA238F" w:rsidRDefault="00000000">
            <w:pPr>
              <w:keepNext/>
              <w:keepLines/>
              <w:spacing w:after="0" w:line="240" w:lineRule="auto"/>
              <w:jc w:val="right"/>
            </w:pPr>
            <w:r>
              <w:rPr>
                <w:sz w:val="18"/>
              </w:rPr>
              <w:t>12.231,58</w:t>
            </w:r>
          </w:p>
        </w:tc>
        <w:tc>
          <w:tcPr>
            <w:tcW w:w="700" w:type="dxa"/>
            <w:tcMar>
              <w:top w:w="0" w:type="dxa"/>
              <w:bottom w:w="0" w:type="dxa"/>
            </w:tcMar>
            <w:vAlign w:val="center"/>
          </w:tcPr>
          <w:p w14:paraId="6513A733" w14:textId="77777777" w:rsidR="00FA238F" w:rsidRDefault="00000000">
            <w:pPr>
              <w:keepNext/>
              <w:keepLines/>
              <w:spacing w:after="0" w:line="240" w:lineRule="auto"/>
              <w:jc w:val="right"/>
            </w:pPr>
            <w:r>
              <w:rPr>
                <w:sz w:val="18"/>
              </w:rPr>
              <w:t>116,4</w:t>
            </w:r>
          </w:p>
        </w:tc>
      </w:tr>
    </w:tbl>
    <w:p w14:paraId="788BB82E" w14:textId="77777777" w:rsidR="00FA238F" w:rsidRDefault="00FA238F">
      <w:pPr>
        <w:spacing w:after="0"/>
      </w:pPr>
    </w:p>
    <w:p w14:paraId="2325C72E" w14:textId="20E2BF7D" w:rsidR="00FA238F" w:rsidRDefault="00000000">
      <w:pPr>
        <w:spacing w:line="240" w:lineRule="auto"/>
        <w:jc w:val="both"/>
      </w:pPr>
      <w:r>
        <w:t xml:space="preserve">Dobavljači koji održavaju programe i preko kojih imamo informatičke usluge su povećali svoje cijene od 1.1.2025. godine te su zbog toga </w:t>
      </w:r>
      <w:r w:rsidR="004D50D8">
        <w:t>ostvareni</w:t>
      </w:r>
      <w:r>
        <w:t xml:space="preserve"> veći rashodi za računalne usluge.</w:t>
      </w:r>
    </w:p>
    <w:p w14:paraId="7B56FCF5" w14:textId="77777777" w:rsidR="00FA238F" w:rsidRDefault="00FA238F"/>
    <w:p w14:paraId="53334D9F" w14:textId="77777777" w:rsidR="00FA238F"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5B501F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35A819"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7EB109"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5A53C1"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4BD068"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86EF95"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A2241D" w14:textId="77777777" w:rsidR="00FA238F" w:rsidRDefault="00000000">
            <w:pPr>
              <w:keepNext/>
              <w:keepLines/>
              <w:spacing w:after="0" w:line="240" w:lineRule="auto"/>
              <w:jc w:val="center"/>
            </w:pPr>
            <w:r>
              <w:rPr>
                <w:b/>
                <w:sz w:val="18"/>
              </w:rPr>
              <w:t>Indeks (%)</w:t>
            </w:r>
          </w:p>
        </w:tc>
      </w:tr>
      <w:tr w:rsidR="00FA238F" w14:paraId="09279F94" w14:textId="77777777">
        <w:tblPrEx>
          <w:tblCellMar>
            <w:top w:w="0" w:type="dxa"/>
            <w:bottom w:w="0" w:type="dxa"/>
          </w:tblCellMar>
        </w:tblPrEx>
        <w:trPr>
          <w:cantSplit/>
          <w:trHeight w:val="560"/>
        </w:trPr>
        <w:tc>
          <w:tcPr>
            <w:tcW w:w="700" w:type="dxa"/>
            <w:tcMar>
              <w:top w:w="0" w:type="dxa"/>
              <w:bottom w:w="0" w:type="dxa"/>
            </w:tcMar>
            <w:vAlign w:val="center"/>
          </w:tcPr>
          <w:p w14:paraId="2BC66651" w14:textId="77777777" w:rsidR="00FA238F" w:rsidRDefault="00000000">
            <w:pPr>
              <w:keepNext/>
              <w:keepLines/>
              <w:spacing w:after="0" w:line="240" w:lineRule="auto"/>
            </w:pPr>
            <w:r>
              <w:rPr>
                <w:sz w:val="18"/>
              </w:rPr>
              <w:t>3239</w:t>
            </w:r>
          </w:p>
        </w:tc>
        <w:tc>
          <w:tcPr>
            <w:tcW w:w="3180" w:type="dxa"/>
            <w:tcMar>
              <w:top w:w="0" w:type="dxa"/>
              <w:bottom w:w="0" w:type="dxa"/>
            </w:tcMar>
            <w:vAlign w:val="center"/>
          </w:tcPr>
          <w:p w14:paraId="754FEF8A" w14:textId="77777777" w:rsidR="00FA238F" w:rsidRDefault="00000000">
            <w:pPr>
              <w:keepNext/>
              <w:keepLines/>
              <w:spacing w:after="0" w:line="240" w:lineRule="auto"/>
            </w:pPr>
            <w:r>
              <w:rPr>
                <w:sz w:val="18"/>
              </w:rPr>
              <w:t>Ostale usluge</w:t>
            </w:r>
          </w:p>
        </w:tc>
        <w:tc>
          <w:tcPr>
            <w:tcW w:w="700" w:type="dxa"/>
            <w:tcMar>
              <w:top w:w="0" w:type="dxa"/>
              <w:bottom w:w="0" w:type="dxa"/>
            </w:tcMar>
            <w:vAlign w:val="center"/>
          </w:tcPr>
          <w:p w14:paraId="16A5713A" w14:textId="77777777" w:rsidR="00FA238F" w:rsidRDefault="00000000">
            <w:pPr>
              <w:keepNext/>
              <w:keepLines/>
              <w:spacing w:after="0" w:line="240" w:lineRule="auto"/>
            </w:pPr>
            <w:r>
              <w:rPr>
                <w:sz w:val="18"/>
              </w:rPr>
              <w:t>3239</w:t>
            </w:r>
          </w:p>
        </w:tc>
        <w:tc>
          <w:tcPr>
            <w:tcW w:w="1860" w:type="dxa"/>
            <w:tcMar>
              <w:top w:w="0" w:type="dxa"/>
              <w:bottom w:w="0" w:type="dxa"/>
            </w:tcMar>
            <w:vAlign w:val="center"/>
          </w:tcPr>
          <w:p w14:paraId="63F58DB8" w14:textId="77777777" w:rsidR="00FA238F" w:rsidRDefault="00000000">
            <w:pPr>
              <w:keepNext/>
              <w:keepLines/>
              <w:spacing w:after="0" w:line="240" w:lineRule="auto"/>
              <w:jc w:val="right"/>
            </w:pPr>
            <w:r>
              <w:rPr>
                <w:sz w:val="18"/>
              </w:rPr>
              <w:t>592,90</w:t>
            </w:r>
          </w:p>
        </w:tc>
        <w:tc>
          <w:tcPr>
            <w:tcW w:w="1860" w:type="dxa"/>
            <w:tcMar>
              <w:top w:w="0" w:type="dxa"/>
              <w:bottom w:w="0" w:type="dxa"/>
            </w:tcMar>
            <w:vAlign w:val="center"/>
          </w:tcPr>
          <w:p w14:paraId="5E4AA8E7" w14:textId="77777777" w:rsidR="00FA238F" w:rsidRDefault="00000000">
            <w:pPr>
              <w:keepNext/>
              <w:keepLines/>
              <w:spacing w:after="0" w:line="240" w:lineRule="auto"/>
              <w:jc w:val="right"/>
            </w:pPr>
            <w:r>
              <w:rPr>
                <w:sz w:val="18"/>
              </w:rPr>
              <w:t>1.846,58</w:t>
            </w:r>
          </w:p>
        </w:tc>
        <w:tc>
          <w:tcPr>
            <w:tcW w:w="700" w:type="dxa"/>
            <w:tcMar>
              <w:top w:w="0" w:type="dxa"/>
              <w:bottom w:w="0" w:type="dxa"/>
            </w:tcMar>
            <w:vAlign w:val="center"/>
          </w:tcPr>
          <w:p w14:paraId="713E96AF" w14:textId="77777777" w:rsidR="00FA238F" w:rsidRDefault="00000000">
            <w:pPr>
              <w:keepNext/>
              <w:keepLines/>
              <w:spacing w:after="0" w:line="240" w:lineRule="auto"/>
              <w:jc w:val="right"/>
            </w:pPr>
            <w:r>
              <w:rPr>
                <w:sz w:val="18"/>
              </w:rPr>
              <w:t>311,4</w:t>
            </w:r>
          </w:p>
        </w:tc>
      </w:tr>
    </w:tbl>
    <w:p w14:paraId="5021A8BD" w14:textId="77777777" w:rsidR="00FA238F" w:rsidRDefault="00FA238F">
      <w:pPr>
        <w:spacing w:after="0"/>
      </w:pPr>
    </w:p>
    <w:p w14:paraId="36532870" w14:textId="77777777" w:rsidR="00FA238F" w:rsidRDefault="00000000">
      <w:pPr>
        <w:spacing w:line="240" w:lineRule="auto"/>
        <w:jc w:val="both"/>
      </w:pPr>
      <w:r>
        <w:t>Na ostalim uslugama evidentiran je rashod za snimanje dronom radi potrebe tužbe prema izvođaču radova energetske obnove Doma. Usluga je iznosila 1.350,00 eura.</w:t>
      </w:r>
    </w:p>
    <w:p w14:paraId="2F4318FF" w14:textId="77777777" w:rsidR="00FA238F" w:rsidRDefault="00FA238F"/>
    <w:p w14:paraId="3C22ACFA" w14:textId="77777777" w:rsidR="00FA238F"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30323E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52D175"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3A38CB"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A17B91"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0E4FE0"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1B3B4A"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BE438D" w14:textId="77777777" w:rsidR="00FA238F" w:rsidRDefault="00000000">
            <w:pPr>
              <w:keepNext/>
              <w:keepLines/>
              <w:spacing w:after="0" w:line="240" w:lineRule="auto"/>
              <w:jc w:val="center"/>
            </w:pPr>
            <w:r>
              <w:rPr>
                <w:b/>
                <w:sz w:val="18"/>
              </w:rPr>
              <w:t>Indeks (%)</w:t>
            </w:r>
          </w:p>
        </w:tc>
      </w:tr>
      <w:tr w:rsidR="00FA238F" w14:paraId="69B4DC10" w14:textId="77777777">
        <w:tblPrEx>
          <w:tblCellMar>
            <w:top w:w="0" w:type="dxa"/>
            <w:bottom w:w="0" w:type="dxa"/>
          </w:tblCellMar>
        </w:tblPrEx>
        <w:trPr>
          <w:cantSplit/>
          <w:trHeight w:val="560"/>
        </w:trPr>
        <w:tc>
          <w:tcPr>
            <w:tcW w:w="700" w:type="dxa"/>
            <w:tcMar>
              <w:top w:w="0" w:type="dxa"/>
              <w:bottom w:w="0" w:type="dxa"/>
            </w:tcMar>
            <w:vAlign w:val="center"/>
          </w:tcPr>
          <w:p w14:paraId="1294C33E" w14:textId="77777777" w:rsidR="00FA238F" w:rsidRDefault="00000000">
            <w:pPr>
              <w:keepNext/>
              <w:keepLines/>
              <w:spacing w:after="0" w:line="240" w:lineRule="auto"/>
            </w:pPr>
            <w:r>
              <w:rPr>
                <w:sz w:val="18"/>
              </w:rPr>
              <w:t>3292</w:t>
            </w:r>
          </w:p>
        </w:tc>
        <w:tc>
          <w:tcPr>
            <w:tcW w:w="3180" w:type="dxa"/>
            <w:tcMar>
              <w:top w:w="0" w:type="dxa"/>
              <w:bottom w:w="0" w:type="dxa"/>
            </w:tcMar>
            <w:vAlign w:val="center"/>
          </w:tcPr>
          <w:p w14:paraId="7012D5F8" w14:textId="77777777" w:rsidR="00FA238F" w:rsidRDefault="00000000">
            <w:pPr>
              <w:keepNext/>
              <w:keepLines/>
              <w:spacing w:after="0" w:line="240" w:lineRule="auto"/>
            </w:pPr>
            <w:r>
              <w:rPr>
                <w:sz w:val="18"/>
              </w:rPr>
              <w:t>Premije osiguranja</w:t>
            </w:r>
          </w:p>
        </w:tc>
        <w:tc>
          <w:tcPr>
            <w:tcW w:w="700" w:type="dxa"/>
            <w:tcMar>
              <w:top w:w="0" w:type="dxa"/>
              <w:bottom w:w="0" w:type="dxa"/>
            </w:tcMar>
            <w:vAlign w:val="center"/>
          </w:tcPr>
          <w:p w14:paraId="1DA790FE" w14:textId="77777777" w:rsidR="00FA238F" w:rsidRDefault="00000000">
            <w:pPr>
              <w:keepNext/>
              <w:keepLines/>
              <w:spacing w:after="0" w:line="240" w:lineRule="auto"/>
            </w:pPr>
            <w:r>
              <w:rPr>
                <w:sz w:val="18"/>
              </w:rPr>
              <w:t>3292</w:t>
            </w:r>
          </w:p>
        </w:tc>
        <w:tc>
          <w:tcPr>
            <w:tcW w:w="1860" w:type="dxa"/>
            <w:tcMar>
              <w:top w:w="0" w:type="dxa"/>
              <w:bottom w:w="0" w:type="dxa"/>
            </w:tcMar>
            <w:vAlign w:val="center"/>
          </w:tcPr>
          <w:p w14:paraId="40722A87" w14:textId="77777777" w:rsidR="00FA238F" w:rsidRDefault="00000000">
            <w:pPr>
              <w:keepNext/>
              <w:keepLines/>
              <w:spacing w:after="0" w:line="240" w:lineRule="auto"/>
              <w:jc w:val="right"/>
            </w:pPr>
            <w:r>
              <w:rPr>
                <w:sz w:val="18"/>
              </w:rPr>
              <w:t>1.709,06</w:t>
            </w:r>
          </w:p>
        </w:tc>
        <w:tc>
          <w:tcPr>
            <w:tcW w:w="1860" w:type="dxa"/>
            <w:tcMar>
              <w:top w:w="0" w:type="dxa"/>
              <w:bottom w:w="0" w:type="dxa"/>
            </w:tcMar>
            <w:vAlign w:val="center"/>
          </w:tcPr>
          <w:p w14:paraId="76D6571B" w14:textId="77777777" w:rsidR="00FA238F" w:rsidRDefault="00000000">
            <w:pPr>
              <w:keepNext/>
              <w:keepLines/>
              <w:spacing w:after="0" w:line="240" w:lineRule="auto"/>
              <w:jc w:val="right"/>
            </w:pPr>
            <w:r>
              <w:rPr>
                <w:sz w:val="18"/>
              </w:rPr>
              <w:t>2.362,38</w:t>
            </w:r>
          </w:p>
        </w:tc>
        <w:tc>
          <w:tcPr>
            <w:tcW w:w="700" w:type="dxa"/>
            <w:tcMar>
              <w:top w:w="0" w:type="dxa"/>
              <w:bottom w:w="0" w:type="dxa"/>
            </w:tcMar>
            <w:vAlign w:val="center"/>
          </w:tcPr>
          <w:p w14:paraId="17D88D63" w14:textId="77777777" w:rsidR="00FA238F" w:rsidRDefault="00000000">
            <w:pPr>
              <w:keepNext/>
              <w:keepLines/>
              <w:spacing w:after="0" w:line="240" w:lineRule="auto"/>
              <w:jc w:val="right"/>
            </w:pPr>
            <w:r>
              <w:rPr>
                <w:sz w:val="18"/>
              </w:rPr>
              <w:t>138,2</w:t>
            </w:r>
          </w:p>
        </w:tc>
      </w:tr>
    </w:tbl>
    <w:p w14:paraId="5A6B4E7E" w14:textId="77777777" w:rsidR="00FA238F" w:rsidRDefault="00FA238F">
      <w:pPr>
        <w:spacing w:after="0"/>
      </w:pPr>
    </w:p>
    <w:p w14:paraId="61AF1B34" w14:textId="77777777" w:rsidR="00FA238F" w:rsidRDefault="00000000">
      <w:pPr>
        <w:spacing w:line="240" w:lineRule="auto"/>
        <w:jc w:val="both"/>
      </w:pPr>
      <w:r>
        <w:t>Premija osiguranja je povećana za 38,2 % u odnosu na prethodnu godinu zbog podmirenja kasko osiguranja u iznosu od 591,82 eura za novo vozilo nabavljeno u 2025. godini.</w:t>
      </w:r>
    </w:p>
    <w:p w14:paraId="15B37528" w14:textId="77777777" w:rsidR="00FA238F" w:rsidRDefault="00FA238F"/>
    <w:p w14:paraId="20A23C27" w14:textId="77777777" w:rsidR="00FA238F"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2D7463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EA55A0"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E38A1B"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360360"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2C6459"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128871"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093648" w14:textId="77777777" w:rsidR="00FA238F" w:rsidRDefault="00000000">
            <w:pPr>
              <w:keepNext/>
              <w:keepLines/>
              <w:spacing w:after="0" w:line="240" w:lineRule="auto"/>
              <w:jc w:val="center"/>
            </w:pPr>
            <w:r>
              <w:rPr>
                <w:b/>
                <w:sz w:val="18"/>
              </w:rPr>
              <w:t>Indeks (%)</w:t>
            </w:r>
          </w:p>
        </w:tc>
      </w:tr>
      <w:tr w:rsidR="00FA238F" w14:paraId="2F778543" w14:textId="77777777">
        <w:tblPrEx>
          <w:tblCellMar>
            <w:top w:w="0" w:type="dxa"/>
            <w:bottom w:w="0" w:type="dxa"/>
          </w:tblCellMar>
        </w:tblPrEx>
        <w:trPr>
          <w:cantSplit/>
          <w:trHeight w:val="560"/>
        </w:trPr>
        <w:tc>
          <w:tcPr>
            <w:tcW w:w="700" w:type="dxa"/>
            <w:tcMar>
              <w:top w:w="0" w:type="dxa"/>
              <w:bottom w:w="0" w:type="dxa"/>
            </w:tcMar>
            <w:vAlign w:val="center"/>
          </w:tcPr>
          <w:p w14:paraId="650E0C04" w14:textId="77777777" w:rsidR="00FA238F" w:rsidRDefault="00000000">
            <w:pPr>
              <w:keepNext/>
              <w:keepLines/>
              <w:spacing w:after="0" w:line="240" w:lineRule="auto"/>
            </w:pPr>
            <w:r>
              <w:rPr>
                <w:sz w:val="18"/>
              </w:rPr>
              <w:t>3293</w:t>
            </w:r>
          </w:p>
        </w:tc>
        <w:tc>
          <w:tcPr>
            <w:tcW w:w="3180" w:type="dxa"/>
            <w:tcMar>
              <w:top w:w="0" w:type="dxa"/>
              <w:bottom w:w="0" w:type="dxa"/>
            </w:tcMar>
            <w:vAlign w:val="center"/>
          </w:tcPr>
          <w:p w14:paraId="66EFDEA7" w14:textId="77777777" w:rsidR="00FA238F" w:rsidRDefault="00000000">
            <w:pPr>
              <w:keepNext/>
              <w:keepLines/>
              <w:spacing w:after="0" w:line="240" w:lineRule="auto"/>
            </w:pPr>
            <w:r>
              <w:rPr>
                <w:sz w:val="18"/>
              </w:rPr>
              <w:t>Reprezentacija</w:t>
            </w:r>
          </w:p>
        </w:tc>
        <w:tc>
          <w:tcPr>
            <w:tcW w:w="700" w:type="dxa"/>
            <w:tcMar>
              <w:top w:w="0" w:type="dxa"/>
              <w:bottom w:w="0" w:type="dxa"/>
            </w:tcMar>
            <w:vAlign w:val="center"/>
          </w:tcPr>
          <w:p w14:paraId="1B3D8769" w14:textId="77777777" w:rsidR="00FA238F" w:rsidRDefault="00000000">
            <w:pPr>
              <w:keepNext/>
              <w:keepLines/>
              <w:spacing w:after="0" w:line="240" w:lineRule="auto"/>
            </w:pPr>
            <w:r>
              <w:rPr>
                <w:sz w:val="18"/>
              </w:rPr>
              <w:t>3293</w:t>
            </w:r>
          </w:p>
        </w:tc>
        <w:tc>
          <w:tcPr>
            <w:tcW w:w="1860" w:type="dxa"/>
            <w:tcMar>
              <w:top w:w="0" w:type="dxa"/>
              <w:bottom w:w="0" w:type="dxa"/>
            </w:tcMar>
            <w:vAlign w:val="center"/>
          </w:tcPr>
          <w:p w14:paraId="22807959" w14:textId="77777777" w:rsidR="00FA238F" w:rsidRDefault="00000000">
            <w:pPr>
              <w:keepNext/>
              <w:keepLines/>
              <w:spacing w:after="0" w:line="240" w:lineRule="auto"/>
              <w:jc w:val="right"/>
            </w:pPr>
            <w:r>
              <w:rPr>
                <w:sz w:val="18"/>
              </w:rPr>
              <w:t>16,30</w:t>
            </w:r>
          </w:p>
        </w:tc>
        <w:tc>
          <w:tcPr>
            <w:tcW w:w="1860" w:type="dxa"/>
            <w:tcMar>
              <w:top w:w="0" w:type="dxa"/>
              <w:bottom w:w="0" w:type="dxa"/>
            </w:tcMar>
            <w:vAlign w:val="center"/>
          </w:tcPr>
          <w:p w14:paraId="35BC19A2" w14:textId="77777777" w:rsidR="00FA238F" w:rsidRDefault="00000000">
            <w:pPr>
              <w:keepNext/>
              <w:keepLines/>
              <w:spacing w:after="0" w:line="240" w:lineRule="auto"/>
              <w:jc w:val="right"/>
            </w:pPr>
            <w:r>
              <w:rPr>
                <w:sz w:val="18"/>
              </w:rPr>
              <w:t>600,00</w:t>
            </w:r>
          </w:p>
        </w:tc>
        <w:tc>
          <w:tcPr>
            <w:tcW w:w="700" w:type="dxa"/>
            <w:tcMar>
              <w:top w:w="0" w:type="dxa"/>
              <w:bottom w:w="0" w:type="dxa"/>
            </w:tcMar>
            <w:vAlign w:val="center"/>
          </w:tcPr>
          <w:p w14:paraId="0C302E93" w14:textId="77777777" w:rsidR="00FA238F" w:rsidRDefault="00000000">
            <w:pPr>
              <w:keepNext/>
              <w:keepLines/>
              <w:spacing w:after="0" w:line="240" w:lineRule="auto"/>
              <w:jc w:val="right"/>
            </w:pPr>
            <w:r>
              <w:rPr>
                <w:sz w:val="18"/>
              </w:rPr>
              <w:t>3681,0</w:t>
            </w:r>
          </w:p>
        </w:tc>
      </w:tr>
    </w:tbl>
    <w:p w14:paraId="1740163C" w14:textId="77777777" w:rsidR="00FA238F" w:rsidRDefault="00FA238F">
      <w:pPr>
        <w:spacing w:after="0"/>
      </w:pPr>
    </w:p>
    <w:p w14:paraId="10A1CCCC" w14:textId="77777777" w:rsidR="00FA238F" w:rsidRDefault="00000000">
      <w:pPr>
        <w:spacing w:line="240" w:lineRule="auto"/>
        <w:jc w:val="both"/>
      </w:pPr>
      <w:r>
        <w:t>Na poziciji reprezentacije iznos se odnosi na odlazak korisnika u pratnji djelatnika Doma na jednodnevni izlet u Malu Suboticu i Mariju Bistricu te autobusni prijevoz.</w:t>
      </w:r>
    </w:p>
    <w:p w14:paraId="2A3A6F26" w14:textId="77777777" w:rsidR="00FA238F" w:rsidRDefault="00FA238F"/>
    <w:p w14:paraId="1EC6D1C2" w14:textId="77777777" w:rsidR="00FA238F"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0FF2EC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69C7DB"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25083C"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B999F2"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53C2EF"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6A4BD9"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ECBBF1" w14:textId="77777777" w:rsidR="00FA238F" w:rsidRDefault="00000000">
            <w:pPr>
              <w:keepNext/>
              <w:keepLines/>
              <w:spacing w:after="0" w:line="240" w:lineRule="auto"/>
              <w:jc w:val="center"/>
            </w:pPr>
            <w:r>
              <w:rPr>
                <w:b/>
                <w:sz w:val="18"/>
              </w:rPr>
              <w:t>Indeks (%)</w:t>
            </w:r>
          </w:p>
        </w:tc>
      </w:tr>
      <w:tr w:rsidR="00FA238F" w14:paraId="2B46886A" w14:textId="77777777">
        <w:tblPrEx>
          <w:tblCellMar>
            <w:top w:w="0" w:type="dxa"/>
            <w:bottom w:w="0" w:type="dxa"/>
          </w:tblCellMar>
        </w:tblPrEx>
        <w:trPr>
          <w:cantSplit/>
          <w:trHeight w:val="560"/>
        </w:trPr>
        <w:tc>
          <w:tcPr>
            <w:tcW w:w="700" w:type="dxa"/>
            <w:tcMar>
              <w:top w:w="0" w:type="dxa"/>
              <w:bottom w:w="0" w:type="dxa"/>
            </w:tcMar>
            <w:vAlign w:val="center"/>
          </w:tcPr>
          <w:p w14:paraId="757A509E" w14:textId="77777777" w:rsidR="00FA238F" w:rsidRDefault="00000000">
            <w:pPr>
              <w:keepNext/>
              <w:keepLines/>
              <w:spacing w:after="0" w:line="240" w:lineRule="auto"/>
            </w:pPr>
            <w:r>
              <w:rPr>
                <w:sz w:val="18"/>
              </w:rPr>
              <w:t>34</w:t>
            </w:r>
          </w:p>
        </w:tc>
        <w:tc>
          <w:tcPr>
            <w:tcW w:w="3180" w:type="dxa"/>
            <w:tcMar>
              <w:top w:w="0" w:type="dxa"/>
              <w:bottom w:w="0" w:type="dxa"/>
            </w:tcMar>
            <w:vAlign w:val="center"/>
          </w:tcPr>
          <w:p w14:paraId="7073ABC4" w14:textId="77777777" w:rsidR="00FA238F"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20916D79" w14:textId="77777777" w:rsidR="00FA238F" w:rsidRDefault="00000000">
            <w:pPr>
              <w:keepNext/>
              <w:keepLines/>
              <w:spacing w:after="0" w:line="240" w:lineRule="auto"/>
            </w:pPr>
            <w:r>
              <w:rPr>
                <w:sz w:val="18"/>
              </w:rPr>
              <w:t>34</w:t>
            </w:r>
          </w:p>
        </w:tc>
        <w:tc>
          <w:tcPr>
            <w:tcW w:w="1860" w:type="dxa"/>
            <w:tcMar>
              <w:top w:w="0" w:type="dxa"/>
              <w:bottom w:w="0" w:type="dxa"/>
            </w:tcMar>
            <w:vAlign w:val="center"/>
          </w:tcPr>
          <w:p w14:paraId="06218AC2" w14:textId="77777777" w:rsidR="00FA238F" w:rsidRDefault="00000000">
            <w:pPr>
              <w:keepNext/>
              <w:keepLines/>
              <w:spacing w:after="0" w:line="240" w:lineRule="auto"/>
              <w:jc w:val="right"/>
            </w:pPr>
            <w:r>
              <w:rPr>
                <w:sz w:val="18"/>
              </w:rPr>
              <w:t>3.956,87</w:t>
            </w:r>
          </w:p>
        </w:tc>
        <w:tc>
          <w:tcPr>
            <w:tcW w:w="1860" w:type="dxa"/>
            <w:tcMar>
              <w:top w:w="0" w:type="dxa"/>
              <w:bottom w:w="0" w:type="dxa"/>
            </w:tcMar>
            <w:vAlign w:val="center"/>
          </w:tcPr>
          <w:p w14:paraId="4FD4F91C" w14:textId="77777777" w:rsidR="00FA238F" w:rsidRDefault="00000000">
            <w:pPr>
              <w:keepNext/>
              <w:keepLines/>
              <w:spacing w:after="0" w:line="240" w:lineRule="auto"/>
              <w:jc w:val="right"/>
            </w:pPr>
            <w:r>
              <w:rPr>
                <w:sz w:val="18"/>
              </w:rPr>
              <w:t>3.147,38</w:t>
            </w:r>
          </w:p>
        </w:tc>
        <w:tc>
          <w:tcPr>
            <w:tcW w:w="700" w:type="dxa"/>
            <w:tcMar>
              <w:top w:w="0" w:type="dxa"/>
              <w:bottom w:w="0" w:type="dxa"/>
            </w:tcMar>
            <w:vAlign w:val="center"/>
          </w:tcPr>
          <w:p w14:paraId="38658FB3" w14:textId="77777777" w:rsidR="00FA238F" w:rsidRDefault="00000000">
            <w:pPr>
              <w:keepNext/>
              <w:keepLines/>
              <w:spacing w:after="0" w:line="240" w:lineRule="auto"/>
              <w:jc w:val="right"/>
            </w:pPr>
            <w:r>
              <w:rPr>
                <w:sz w:val="18"/>
              </w:rPr>
              <w:t>79,5</w:t>
            </w:r>
          </w:p>
        </w:tc>
      </w:tr>
    </w:tbl>
    <w:p w14:paraId="4BEC21CD" w14:textId="77777777" w:rsidR="00FA238F" w:rsidRDefault="00FA238F">
      <w:pPr>
        <w:spacing w:after="0"/>
      </w:pPr>
    </w:p>
    <w:p w14:paraId="3CD98067" w14:textId="77777777" w:rsidR="00FA238F" w:rsidRDefault="00000000">
      <w:pPr>
        <w:spacing w:line="240" w:lineRule="auto"/>
        <w:jc w:val="both"/>
      </w:pPr>
      <w:r>
        <w:t>Financijski rashodi su manji u odnosu na prethodnu godinu za 20,05 % ponajviše zbog manje kamate za otplatu kredita i smanjenje rashoda za zatezne kamate prema dobavljačima.</w:t>
      </w:r>
    </w:p>
    <w:p w14:paraId="7F1FBB77" w14:textId="77777777" w:rsidR="00FA238F" w:rsidRDefault="00FA238F"/>
    <w:p w14:paraId="7F67D271" w14:textId="77777777" w:rsidR="00FA238F"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64949F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012FF6"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99D466"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761356"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D0B29E"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613237"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D02126" w14:textId="77777777" w:rsidR="00FA238F" w:rsidRDefault="00000000">
            <w:pPr>
              <w:keepNext/>
              <w:keepLines/>
              <w:spacing w:after="0" w:line="240" w:lineRule="auto"/>
              <w:jc w:val="center"/>
            </w:pPr>
            <w:r>
              <w:rPr>
                <w:b/>
                <w:sz w:val="18"/>
              </w:rPr>
              <w:t>Indeks (%)</w:t>
            </w:r>
          </w:p>
        </w:tc>
      </w:tr>
      <w:tr w:rsidR="00FA238F" w14:paraId="7D8179F2" w14:textId="77777777">
        <w:tblPrEx>
          <w:tblCellMar>
            <w:top w:w="0" w:type="dxa"/>
            <w:bottom w:w="0" w:type="dxa"/>
          </w:tblCellMar>
        </w:tblPrEx>
        <w:trPr>
          <w:cantSplit/>
          <w:trHeight w:val="560"/>
        </w:trPr>
        <w:tc>
          <w:tcPr>
            <w:tcW w:w="700" w:type="dxa"/>
            <w:tcMar>
              <w:top w:w="0" w:type="dxa"/>
              <w:bottom w:w="0" w:type="dxa"/>
            </w:tcMar>
            <w:vAlign w:val="center"/>
          </w:tcPr>
          <w:p w14:paraId="34B1EC94" w14:textId="77777777" w:rsidR="00FA238F" w:rsidRDefault="00000000">
            <w:pPr>
              <w:keepNext/>
              <w:keepLines/>
              <w:spacing w:after="0" w:line="240" w:lineRule="auto"/>
            </w:pPr>
            <w:r>
              <w:rPr>
                <w:sz w:val="18"/>
              </w:rPr>
              <w:t>3423</w:t>
            </w:r>
          </w:p>
        </w:tc>
        <w:tc>
          <w:tcPr>
            <w:tcW w:w="3180" w:type="dxa"/>
            <w:tcMar>
              <w:top w:w="0" w:type="dxa"/>
              <w:bottom w:w="0" w:type="dxa"/>
            </w:tcMar>
            <w:vAlign w:val="center"/>
          </w:tcPr>
          <w:p w14:paraId="28CDBC0A" w14:textId="77777777" w:rsidR="00FA238F" w:rsidRDefault="00000000">
            <w:pPr>
              <w:keepNext/>
              <w:keepLines/>
              <w:spacing w:after="0" w:line="240" w:lineRule="auto"/>
            </w:pPr>
            <w:r>
              <w:rPr>
                <w:sz w:val="18"/>
              </w:rPr>
              <w:t>Kamate za primljene kredite i zajmove od kreditnih i ostalih financijskih institucija izvan javnog sektora</w:t>
            </w:r>
          </w:p>
        </w:tc>
        <w:tc>
          <w:tcPr>
            <w:tcW w:w="700" w:type="dxa"/>
            <w:tcMar>
              <w:top w:w="0" w:type="dxa"/>
              <w:bottom w:w="0" w:type="dxa"/>
            </w:tcMar>
            <w:vAlign w:val="center"/>
          </w:tcPr>
          <w:p w14:paraId="77B3900A" w14:textId="77777777" w:rsidR="00FA238F" w:rsidRDefault="00000000">
            <w:pPr>
              <w:keepNext/>
              <w:keepLines/>
              <w:spacing w:after="0" w:line="240" w:lineRule="auto"/>
            </w:pPr>
            <w:r>
              <w:rPr>
                <w:sz w:val="18"/>
              </w:rPr>
              <w:t>3423</w:t>
            </w:r>
          </w:p>
        </w:tc>
        <w:tc>
          <w:tcPr>
            <w:tcW w:w="1860" w:type="dxa"/>
            <w:tcMar>
              <w:top w:w="0" w:type="dxa"/>
              <w:bottom w:w="0" w:type="dxa"/>
            </w:tcMar>
            <w:vAlign w:val="center"/>
          </w:tcPr>
          <w:p w14:paraId="3EA9C99E" w14:textId="77777777" w:rsidR="00FA238F" w:rsidRDefault="00000000">
            <w:pPr>
              <w:keepNext/>
              <w:keepLines/>
              <w:spacing w:after="0" w:line="240" w:lineRule="auto"/>
              <w:jc w:val="right"/>
            </w:pPr>
            <w:r>
              <w:rPr>
                <w:sz w:val="18"/>
              </w:rPr>
              <w:t>1.810,34</w:t>
            </w:r>
          </w:p>
        </w:tc>
        <w:tc>
          <w:tcPr>
            <w:tcW w:w="1860" w:type="dxa"/>
            <w:tcMar>
              <w:top w:w="0" w:type="dxa"/>
              <w:bottom w:w="0" w:type="dxa"/>
            </w:tcMar>
            <w:vAlign w:val="center"/>
          </w:tcPr>
          <w:p w14:paraId="12A88127" w14:textId="77777777" w:rsidR="00FA238F" w:rsidRDefault="00000000">
            <w:pPr>
              <w:keepNext/>
              <w:keepLines/>
              <w:spacing w:after="0" w:line="240" w:lineRule="auto"/>
              <w:jc w:val="right"/>
            </w:pPr>
            <w:r>
              <w:rPr>
                <w:sz w:val="18"/>
              </w:rPr>
              <w:t>1.599,84</w:t>
            </w:r>
          </w:p>
        </w:tc>
        <w:tc>
          <w:tcPr>
            <w:tcW w:w="700" w:type="dxa"/>
            <w:tcMar>
              <w:top w:w="0" w:type="dxa"/>
              <w:bottom w:w="0" w:type="dxa"/>
            </w:tcMar>
            <w:vAlign w:val="center"/>
          </w:tcPr>
          <w:p w14:paraId="656F64F8" w14:textId="77777777" w:rsidR="00FA238F" w:rsidRDefault="00000000">
            <w:pPr>
              <w:keepNext/>
              <w:keepLines/>
              <w:spacing w:after="0" w:line="240" w:lineRule="auto"/>
              <w:jc w:val="right"/>
            </w:pPr>
            <w:r>
              <w:rPr>
                <w:sz w:val="18"/>
              </w:rPr>
              <w:t>88,4</w:t>
            </w:r>
          </w:p>
        </w:tc>
      </w:tr>
    </w:tbl>
    <w:p w14:paraId="6B3042C8" w14:textId="77777777" w:rsidR="00FA238F" w:rsidRDefault="00FA238F">
      <w:pPr>
        <w:spacing w:after="0"/>
      </w:pPr>
    </w:p>
    <w:p w14:paraId="357ED4E3" w14:textId="77777777" w:rsidR="00FA238F" w:rsidRDefault="00000000">
      <w:pPr>
        <w:spacing w:line="240" w:lineRule="auto"/>
        <w:jc w:val="both"/>
      </w:pPr>
      <w:r>
        <w:t>Otplata kredita za energetsku obnovu je redovita u mjesečnim ratama, svaki mjesec kamata na glavnicu je sve manja te je tako i rashod za kamate za primljene kredite manja u odnosu na isto razdoblje prethodne godine.</w:t>
      </w:r>
    </w:p>
    <w:p w14:paraId="5DB9E766" w14:textId="77777777" w:rsidR="00FA238F" w:rsidRDefault="00FA238F"/>
    <w:p w14:paraId="3FEF1337" w14:textId="77777777" w:rsidR="00FA238F"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40448B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C0F2AE"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2AE4E9"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9CA777"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D184ED"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E56C50"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790869" w14:textId="77777777" w:rsidR="00FA238F" w:rsidRDefault="00000000">
            <w:pPr>
              <w:keepNext/>
              <w:keepLines/>
              <w:spacing w:after="0" w:line="240" w:lineRule="auto"/>
              <w:jc w:val="center"/>
            </w:pPr>
            <w:r>
              <w:rPr>
                <w:b/>
                <w:sz w:val="18"/>
              </w:rPr>
              <w:t>Indeks (%)</w:t>
            </w:r>
          </w:p>
        </w:tc>
      </w:tr>
      <w:tr w:rsidR="00FA238F" w14:paraId="44A3E401" w14:textId="77777777">
        <w:tblPrEx>
          <w:tblCellMar>
            <w:top w:w="0" w:type="dxa"/>
            <w:bottom w:w="0" w:type="dxa"/>
          </w:tblCellMar>
        </w:tblPrEx>
        <w:trPr>
          <w:cantSplit/>
          <w:trHeight w:val="560"/>
        </w:trPr>
        <w:tc>
          <w:tcPr>
            <w:tcW w:w="700" w:type="dxa"/>
            <w:tcMar>
              <w:top w:w="0" w:type="dxa"/>
              <w:bottom w:w="0" w:type="dxa"/>
            </w:tcMar>
            <w:vAlign w:val="center"/>
          </w:tcPr>
          <w:p w14:paraId="20B0068E" w14:textId="77777777" w:rsidR="00FA238F" w:rsidRDefault="00000000">
            <w:pPr>
              <w:keepNext/>
              <w:keepLines/>
              <w:spacing w:after="0" w:line="240" w:lineRule="auto"/>
            </w:pPr>
            <w:r>
              <w:rPr>
                <w:sz w:val="18"/>
              </w:rPr>
              <w:t>3433</w:t>
            </w:r>
          </w:p>
        </w:tc>
        <w:tc>
          <w:tcPr>
            <w:tcW w:w="3180" w:type="dxa"/>
            <w:tcMar>
              <w:top w:w="0" w:type="dxa"/>
              <w:bottom w:w="0" w:type="dxa"/>
            </w:tcMar>
            <w:vAlign w:val="center"/>
          </w:tcPr>
          <w:p w14:paraId="1BF835BA" w14:textId="77777777" w:rsidR="00FA238F" w:rsidRDefault="00000000">
            <w:pPr>
              <w:keepNext/>
              <w:keepLines/>
              <w:spacing w:after="0" w:line="240" w:lineRule="auto"/>
            </w:pPr>
            <w:r>
              <w:rPr>
                <w:sz w:val="18"/>
              </w:rPr>
              <w:t>Zatezne kamate</w:t>
            </w:r>
          </w:p>
        </w:tc>
        <w:tc>
          <w:tcPr>
            <w:tcW w:w="700" w:type="dxa"/>
            <w:tcMar>
              <w:top w:w="0" w:type="dxa"/>
              <w:bottom w:w="0" w:type="dxa"/>
            </w:tcMar>
            <w:vAlign w:val="center"/>
          </w:tcPr>
          <w:p w14:paraId="1C31E6A1" w14:textId="77777777" w:rsidR="00FA238F" w:rsidRDefault="00000000">
            <w:pPr>
              <w:keepNext/>
              <w:keepLines/>
              <w:spacing w:after="0" w:line="240" w:lineRule="auto"/>
            </w:pPr>
            <w:r>
              <w:rPr>
                <w:sz w:val="18"/>
              </w:rPr>
              <w:t>3433</w:t>
            </w:r>
          </w:p>
        </w:tc>
        <w:tc>
          <w:tcPr>
            <w:tcW w:w="1860" w:type="dxa"/>
            <w:tcMar>
              <w:top w:w="0" w:type="dxa"/>
              <w:bottom w:w="0" w:type="dxa"/>
            </w:tcMar>
            <w:vAlign w:val="center"/>
          </w:tcPr>
          <w:p w14:paraId="416981F5" w14:textId="77777777" w:rsidR="00FA238F" w:rsidRDefault="00000000">
            <w:pPr>
              <w:keepNext/>
              <w:keepLines/>
              <w:spacing w:after="0" w:line="240" w:lineRule="auto"/>
              <w:jc w:val="right"/>
            </w:pPr>
            <w:r>
              <w:rPr>
                <w:sz w:val="18"/>
              </w:rPr>
              <w:t>817,32</w:t>
            </w:r>
          </w:p>
        </w:tc>
        <w:tc>
          <w:tcPr>
            <w:tcW w:w="1860" w:type="dxa"/>
            <w:tcMar>
              <w:top w:w="0" w:type="dxa"/>
              <w:bottom w:w="0" w:type="dxa"/>
            </w:tcMar>
            <w:vAlign w:val="center"/>
          </w:tcPr>
          <w:p w14:paraId="07AB7B2F" w14:textId="77777777" w:rsidR="00FA238F" w:rsidRDefault="00000000">
            <w:pPr>
              <w:keepNext/>
              <w:keepLines/>
              <w:spacing w:after="0" w:line="240" w:lineRule="auto"/>
              <w:jc w:val="right"/>
            </w:pPr>
            <w:r>
              <w:rPr>
                <w:sz w:val="18"/>
              </w:rPr>
              <w:t>235,95</w:t>
            </w:r>
          </w:p>
        </w:tc>
        <w:tc>
          <w:tcPr>
            <w:tcW w:w="700" w:type="dxa"/>
            <w:tcMar>
              <w:top w:w="0" w:type="dxa"/>
              <w:bottom w:w="0" w:type="dxa"/>
            </w:tcMar>
            <w:vAlign w:val="center"/>
          </w:tcPr>
          <w:p w14:paraId="58A1721F" w14:textId="77777777" w:rsidR="00FA238F" w:rsidRDefault="00000000">
            <w:pPr>
              <w:keepNext/>
              <w:keepLines/>
              <w:spacing w:after="0" w:line="240" w:lineRule="auto"/>
              <w:jc w:val="right"/>
            </w:pPr>
            <w:r>
              <w:rPr>
                <w:sz w:val="18"/>
              </w:rPr>
              <w:t>28,9</w:t>
            </w:r>
          </w:p>
        </w:tc>
      </w:tr>
    </w:tbl>
    <w:p w14:paraId="5E6EE4E9" w14:textId="77777777" w:rsidR="00FA238F" w:rsidRDefault="00FA238F">
      <w:pPr>
        <w:spacing w:after="0"/>
      </w:pPr>
    </w:p>
    <w:p w14:paraId="5F50A3B9" w14:textId="77777777" w:rsidR="00FA238F" w:rsidRDefault="00000000">
      <w:pPr>
        <w:spacing w:line="240" w:lineRule="auto"/>
        <w:jc w:val="both"/>
      </w:pPr>
      <w:r>
        <w:t>Zbog pravodobnijeg plaćanja računa dobavljačima koji obračunavaju zatezne kamate smanjen je iznos zateznih kamata u izvještajnom razdoblju u odnosu na isto razdoblje prethodne godine zbog čega je došlo i do manjeg financijskog rashoda.</w:t>
      </w:r>
    </w:p>
    <w:p w14:paraId="33A5CB52" w14:textId="77777777" w:rsidR="00FA238F" w:rsidRDefault="00FA238F"/>
    <w:p w14:paraId="7A75DDD4" w14:textId="77777777" w:rsidR="00FA238F"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2CECBE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CC1471"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38E16F"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2D2382"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B8174D"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62E673"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2F9ED2" w14:textId="77777777" w:rsidR="00FA238F" w:rsidRDefault="00000000">
            <w:pPr>
              <w:keepNext/>
              <w:keepLines/>
              <w:spacing w:after="0" w:line="240" w:lineRule="auto"/>
              <w:jc w:val="center"/>
            </w:pPr>
            <w:r>
              <w:rPr>
                <w:b/>
                <w:sz w:val="18"/>
              </w:rPr>
              <w:t>Indeks (%)</w:t>
            </w:r>
          </w:p>
        </w:tc>
      </w:tr>
      <w:tr w:rsidR="00FA238F" w14:paraId="45C287BB" w14:textId="77777777">
        <w:tblPrEx>
          <w:tblCellMar>
            <w:top w:w="0" w:type="dxa"/>
            <w:bottom w:w="0" w:type="dxa"/>
          </w:tblCellMar>
        </w:tblPrEx>
        <w:trPr>
          <w:cantSplit/>
          <w:trHeight w:val="560"/>
        </w:trPr>
        <w:tc>
          <w:tcPr>
            <w:tcW w:w="700" w:type="dxa"/>
            <w:tcMar>
              <w:top w:w="0" w:type="dxa"/>
              <w:bottom w:w="0" w:type="dxa"/>
            </w:tcMar>
            <w:vAlign w:val="center"/>
          </w:tcPr>
          <w:p w14:paraId="114F30EE" w14:textId="77777777" w:rsidR="00FA238F" w:rsidRDefault="00000000">
            <w:pPr>
              <w:keepNext/>
              <w:keepLines/>
              <w:spacing w:after="0" w:line="240" w:lineRule="auto"/>
            </w:pPr>
            <w:r>
              <w:rPr>
                <w:sz w:val="18"/>
              </w:rPr>
              <w:t>3721</w:t>
            </w:r>
          </w:p>
        </w:tc>
        <w:tc>
          <w:tcPr>
            <w:tcW w:w="3180" w:type="dxa"/>
            <w:tcMar>
              <w:top w:w="0" w:type="dxa"/>
              <w:bottom w:w="0" w:type="dxa"/>
            </w:tcMar>
            <w:vAlign w:val="center"/>
          </w:tcPr>
          <w:p w14:paraId="2614D0B6" w14:textId="77777777" w:rsidR="00FA238F" w:rsidRDefault="00000000">
            <w:pPr>
              <w:keepNext/>
              <w:keepLines/>
              <w:spacing w:after="0" w:line="240" w:lineRule="auto"/>
            </w:pPr>
            <w:r>
              <w:rPr>
                <w:sz w:val="18"/>
              </w:rPr>
              <w:t>Naknade građanima i kućanstvima u novcu</w:t>
            </w:r>
          </w:p>
        </w:tc>
        <w:tc>
          <w:tcPr>
            <w:tcW w:w="700" w:type="dxa"/>
            <w:tcMar>
              <w:top w:w="0" w:type="dxa"/>
              <w:bottom w:w="0" w:type="dxa"/>
            </w:tcMar>
            <w:vAlign w:val="center"/>
          </w:tcPr>
          <w:p w14:paraId="07979D14" w14:textId="77777777" w:rsidR="00FA238F" w:rsidRDefault="00000000">
            <w:pPr>
              <w:keepNext/>
              <w:keepLines/>
              <w:spacing w:after="0" w:line="240" w:lineRule="auto"/>
            </w:pPr>
            <w:r>
              <w:rPr>
                <w:sz w:val="18"/>
              </w:rPr>
              <w:t>3721</w:t>
            </w:r>
          </w:p>
        </w:tc>
        <w:tc>
          <w:tcPr>
            <w:tcW w:w="1860" w:type="dxa"/>
            <w:tcMar>
              <w:top w:w="0" w:type="dxa"/>
              <w:bottom w:w="0" w:type="dxa"/>
            </w:tcMar>
            <w:vAlign w:val="center"/>
          </w:tcPr>
          <w:p w14:paraId="5E71BC44" w14:textId="77777777" w:rsidR="00FA238F" w:rsidRDefault="00000000">
            <w:pPr>
              <w:keepNext/>
              <w:keepLines/>
              <w:spacing w:after="0" w:line="240" w:lineRule="auto"/>
              <w:jc w:val="right"/>
            </w:pPr>
            <w:r>
              <w:rPr>
                <w:sz w:val="18"/>
              </w:rPr>
              <w:t>1.592,64</w:t>
            </w:r>
          </w:p>
        </w:tc>
        <w:tc>
          <w:tcPr>
            <w:tcW w:w="1860" w:type="dxa"/>
            <w:tcMar>
              <w:top w:w="0" w:type="dxa"/>
              <w:bottom w:w="0" w:type="dxa"/>
            </w:tcMar>
            <w:vAlign w:val="center"/>
          </w:tcPr>
          <w:p w14:paraId="4C5058CA" w14:textId="77777777" w:rsidR="00FA238F" w:rsidRDefault="00000000">
            <w:pPr>
              <w:keepNext/>
              <w:keepLines/>
              <w:spacing w:after="0" w:line="240" w:lineRule="auto"/>
              <w:jc w:val="right"/>
            </w:pPr>
            <w:r>
              <w:rPr>
                <w:sz w:val="18"/>
              </w:rPr>
              <w:t>1.701,84</w:t>
            </w:r>
          </w:p>
        </w:tc>
        <w:tc>
          <w:tcPr>
            <w:tcW w:w="700" w:type="dxa"/>
            <w:tcMar>
              <w:top w:w="0" w:type="dxa"/>
              <w:bottom w:w="0" w:type="dxa"/>
            </w:tcMar>
            <w:vAlign w:val="center"/>
          </w:tcPr>
          <w:p w14:paraId="416B204A" w14:textId="77777777" w:rsidR="00FA238F" w:rsidRDefault="00000000">
            <w:pPr>
              <w:keepNext/>
              <w:keepLines/>
              <w:spacing w:after="0" w:line="240" w:lineRule="auto"/>
              <w:jc w:val="right"/>
            </w:pPr>
            <w:r>
              <w:rPr>
                <w:sz w:val="18"/>
              </w:rPr>
              <w:t>106,9</w:t>
            </w:r>
          </w:p>
        </w:tc>
      </w:tr>
    </w:tbl>
    <w:p w14:paraId="52DDEA66" w14:textId="77777777" w:rsidR="00FA238F" w:rsidRDefault="00FA238F">
      <w:pPr>
        <w:spacing w:after="0"/>
      </w:pPr>
    </w:p>
    <w:p w14:paraId="26762040" w14:textId="5CAABB1A" w:rsidR="00FA238F" w:rsidRDefault="00000000">
      <w:pPr>
        <w:spacing w:line="240" w:lineRule="auto"/>
        <w:jc w:val="both"/>
      </w:pPr>
      <w:r>
        <w:t>Korisnicima koji su smješteni pre</w:t>
      </w:r>
      <w:r w:rsidR="004D50D8">
        <w:t>k</w:t>
      </w:r>
      <w:r>
        <w:t>o Centra za socijalnu skrb isplaćuje se džeparac koji doznačava Ministarstvo rada, mirovinskog sustava, obitelji i socijalne politike. Od početka godine povećan je iznos mjesečnog džeparca korisnicima s 33,18 na 37,50 eura.</w:t>
      </w:r>
    </w:p>
    <w:p w14:paraId="1CBFFEE2" w14:textId="77777777" w:rsidR="00FA238F" w:rsidRDefault="00FA238F"/>
    <w:p w14:paraId="0CA1F075" w14:textId="77777777" w:rsidR="00FA238F"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195834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926F80"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CC67C6"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B614CF"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492908"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B7FE08"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9968D9" w14:textId="77777777" w:rsidR="00FA238F" w:rsidRDefault="00000000">
            <w:pPr>
              <w:keepNext/>
              <w:keepLines/>
              <w:spacing w:after="0" w:line="240" w:lineRule="auto"/>
              <w:jc w:val="center"/>
            </w:pPr>
            <w:r>
              <w:rPr>
                <w:b/>
                <w:sz w:val="18"/>
              </w:rPr>
              <w:t>Indeks (%)</w:t>
            </w:r>
          </w:p>
        </w:tc>
      </w:tr>
      <w:tr w:rsidR="00FA238F" w14:paraId="34D19C10" w14:textId="77777777">
        <w:tblPrEx>
          <w:tblCellMar>
            <w:top w:w="0" w:type="dxa"/>
            <w:bottom w:w="0" w:type="dxa"/>
          </w:tblCellMar>
        </w:tblPrEx>
        <w:trPr>
          <w:cantSplit/>
          <w:trHeight w:val="560"/>
        </w:trPr>
        <w:tc>
          <w:tcPr>
            <w:tcW w:w="700" w:type="dxa"/>
            <w:tcMar>
              <w:top w:w="0" w:type="dxa"/>
              <w:bottom w:w="0" w:type="dxa"/>
            </w:tcMar>
            <w:vAlign w:val="center"/>
          </w:tcPr>
          <w:p w14:paraId="67F28DA8" w14:textId="77777777" w:rsidR="00FA238F" w:rsidRDefault="00000000">
            <w:pPr>
              <w:keepNext/>
              <w:keepLines/>
              <w:spacing w:after="0" w:line="240" w:lineRule="auto"/>
            </w:pPr>
            <w:r>
              <w:rPr>
                <w:sz w:val="18"/>
              </w:rPr>
              <w:t>7227</w:t>
            </w:r>
          </w:p>
        </w:tc>
        <w:tc>
          <w:tcPr>
            <w:tcW w:w="3180" w:type="dxa"/>
            <w:tcMar>
              <w:top w:w="0" w:type="dxa"/>
              <w:bottom w:w="0" w:type="dxa"/>
            </w:tcMar>
            <w:vAlign w:val="center"/>
          </w:tcPr>
          <w:p w14:paraId="5F315D04" w14:textId="77777777" w:rsidR="00FA238F"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03CA4D61" w14:textId="77777777" w:rsidR="00FA238F" w:rsidRDefault="00000000">
            <w:pPr>
              <w:keepNext/>
              <w:keepLines/>
              <w:spacing w:after="0" w:line="240" w:lineRule="auto"/>
            </w:pPr>
            <w:r>
              <w:rPr>
                <w:sz w:val="18"/>
              </w:rPr>
              <w:t>7227</w:t>
            </w:r>
          </w:p>
        </w:tc>
        <w:tc>
          <w:tcPr>
            <w:tcW w:w="1860" w:type="dxa"/>
            <w:tcMar>
              <w:top w:w="0" w:type="dxa"/>
              <w:bottom w:w="0" w:type="dxa"/>
            </w:tcMar>
            <w:vAlign w:val="center"/>
          </w:tcPr>
          <w:p w14:paraId="03073D70" w14:textId="77777777" w:rsidR="00FA238F" w:rsidRDefault="00000000">
            <w:pPr>
              <w:keepNext/>
              <w:keepLines/>
              <w:spacing w:after="0" w:line="240" w:lineRule="auto"/>
              <w:jc w:val="right"/>
            </w:pPr>
            <w:r>
              <w:rPr>
                <w:sz w:val="18"/>
              </w:rPr>
              <w:t>0,00</w:t>
            </w:r>
          </w:p>
        </w:tc>
        <w:tc>
          <w:tcPr>
            <w:tcW w:w="1860" w:type="dxa"/>
            <w:tcMar>
              <w:top w:w="0" w:type="dxa"/>
              <w:bottom w:w="0" w:type="dxa"/>
            </w:tcMar>
            <w:vAlign w:val="center"/>
          </w:tcPr>
          <w:p w14:paraId="47CC91D5" w14:textId="77777777" w:rsidR="00FA238F" w:rsidRDefault="00000000">
            <w:pPr>
              <w:keepNext/>
              <w:keepLines/>
              <w:spacing w:after="0" w:line="240" w:lineRule="auto"/>
              <w:jc w:val="right"/>
            </w:pPr>
            <w:r>
              <w:rPr>
                <w:sz w:val="18"/>
              </w:rPr>
              <w:t>1.530,00</w:t>
            </w:r>
          </w:p>
        </w:tc>
        <w:tc>
          <w:tcPr>
            <w:tcW w:w="700" w:type="dxa"/>
            <w:tcMar>
              <w:top w:w="0" w:type="dxa"/>
              <w:bottom w:w="0" w:type="dxa"/>
            </w:tcMar>
            <w:vAlign w:val="center"/>
          </w:tcPr>
          <w:p w14:paraId="0E036F4D" w14:textId="77777777" w:rsidR="00FA238F" w:rsidRDefault="00000000">
            <w:pPr>
              <w:keepNext/>
              <w:keepLines/>
              <w:spacing w:after="0" w:line="240" w:lineRule="auto"/>
              <w:jc w:val="right"/>
            </w:pPr>
            <w:r>
              <w:rPr>
                <w:sz w:val="18"/>
              </w:rPr>
              <w:t>-</w:t>
            </w:r>
          </w:p>
        </w:tc>
      </w:tr>
    </w:tbl>
    <w:p w14:paraId="685CE967" w14:textId="77777777" w:rsidR="00FA238F" w:rsidRDefault="00FA238F">
      <w:pPr>
        <w:spacing w:after="0"/>
      </w:pPr>
    </w:p>
    <w:p w14:paraId="4F72FB38" w14:textId="77777777" w:rsidR="00FA238F" w:rsidRDefault="00000000">
      <w:pPr>
        <w:spacing w:line="240" w:lineRule="auto"/>
        <w:jc w:val="both"/>
      </w:pPr>
      <w:r>
        <w:t>Prodana je nefinancijska imovina u iznosu 1.530,00 eura te su ostvareni prihodi od prodaje. Iznos od 1.000,00 eura odnosi se na prodaju rashodovane kosilice koja je bila dotrajala te je bilo isplativije kupiti novu jer je prethodna bila iz 2008. godine. Ostatak prihoda odnosi se na prodaju stolica i tegli za cvijeće.</w:t>
      </w:r>
    </w:p>
    <w:p w14:paraId="091C7547" w14:textId="77777777" w:rsidR="00FA238F" w:rsidRDefault="00FA238F"/>
    <w:p w14:paraId="23CBE7C8" w14:textId="77777777" w:rsidR="00FA238F"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6F1FDC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87A5F7"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F6EB6B"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B236EB"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F1C769"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7BF2AB"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1956B3" w14:textId="77777777" w:rsidR="00FA238F" w:rsidRDefault="00000000">
            <w:pPr>
              <w:keepNext/>
              <w:keepLines/>
              <w:spacing w:after="0" w:line="240" w:lineRule="auto"/>
              <w:jc w:val="center"/>
            </w:pPr>
            <w:r>
              <w:rPr>
                <w:b/>
                <w:sz w:val="18"/>
              </w:rPr>
              <w:t>Indeks (%)</w:t>
            </w:r>
          </w:p>
        </w:tc>
      </w:tr>
      <w:tr w:rsidR="00FA238F" w14:paraId="44A54FEB" w14:textId="77777777">
        <w:tblPrEx>
          <w:tblCellMar>
            <w:top w:w="0" w:type="dxa"/>
            <w:bottom w:w="0" w:type="dxa"/>
          </w:tblCellMar>
        </w:tblPrEx>
        <w:trPr>
          <w:cantSplit/>
          <w:trHeight w:val="560"/>
        </w:trPr>
        <w:tc>
          <w:tcPr>
            <w:tcW w:w="700" w:type="dxa"/>
            <w:tcMar>
              <w:top w:w="0" w:type="dxa"/>
              <w:bottom w:w="0" w:type="dxa"/>
            </w:tcMar>
            <w:vAlign w:val="center"/>
          </w:tcPr>
          <w:p w14:paraId="346B7060" w14:textId="77777777" w:rsidR="00FA238F" w:rsidRDefault="00000000">
            <w:pPr>
              <w:keepNext/>
              <w:keepLines/>
              <w:spacing w:after="0" w:line="240" w:lineRule="auto"/>
            </w:pPr>
            <w:r>
              <w:rPr>
                <w:sz w:val="18"/>
              </w:rPr>
              <w:t>4</w:t>
            </w:r>
          </w:p>
        </w:tc>
        <w:tc>
          <w:tcPr>
            <w:tcW w:w="3180" w:type="dxa"/>
            <w:tcMar>
              <w:top w:w="0" w:type="dxa"/>
              <w:bottom w:w="0" w:type="dxa"/>
            </w:tcMar>
            <w:vAlign w:val="center"/>
          </w:tcPr>
          <w:p w14:paraId="18C2EB85" w14:textId="77777777" w:rsidR="00FA238F"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8D1FC3A" w14:textId="77777777" w:rsidR="00FA238F" w:rsidRDefault="00000000">
            <w:pPr>
              <w:keepNext/>
              <w:keepLines/>
              <w:spacing w:after="0" w:line="240" w:lineRule="auto"/>
            </w:pPr>
            <w:r>
              <w:rPr>
                <w:sz w:val="18"/>
              </w:rPr>
              <w:t>4</w:t>
            </w:r>
          </w:p>
        </w:tc>
        <w:tc>
          <w:tcPr>
            <w:tcW w:w="1860" w:type="dxa"/>
            <w:tcMar>
              <w:top w:w="0" w:type="dxa"/>
              <w:bottom w:w="0" w:type="dxa"/>
            </w:tcMar>
            <w:vAlign w:val="center"/>
          </w:tcPr>
          <w:p w14:paraId="7AC5E54E" w14:textId="77777777" w:rsidR="00FA238F" w:rsidRDefault="00000000">
            <w:pPr>
              <w:keepNext/>
              <w:keepLines/>
              <w:spacing w:after="0" w:line="240" w:lineRule="auto"/>
              <w:jc w:val="right"/>
            </w:pPr>
            <w:r>
              <w:rPr>
                <w:sz w:val="18"/>
              </w:rPr>
              <w:t>11.669,13</w:t>
            </w:r>
          </w:p>
        </w:tc>
        <w:tc>
          <w:tcPr>
            <w:tcW w:w="1860" w:type="dxa"/>
            <w:tcMar>
              <w:top w:w="0" w:type="dxa"/>
              <w:bottom w:w="0" w:type="dxa"/>
            </w:tcMar>
            <w:vAlign w:val="center"/>
          </w:tcPr>
          <w:p w14:paraId="14FACFEF" w14:textId="77777777" w:rsidR="00FA238F" w:rsidRDefault="00000000">
            <w:pPr>
              <w:keepNext/>
              <w:keepLines/>
              <w:spacing w:after="0" w:line="240" w:lineRule="auto"/>
              <w:jc w:val="right"/>
            </w:pPr>
            <w:r>
              <w:rPr>
                <w:sz w:val="18"/>
              </w:rPr>
              <w:t>56.731,01</w:t>
            </w:r>
          </w:p>
        </w:tc>
        <w:tc>
          <w:tcPr>
            <w:tcW w:w="700" w:type="dxa"/>
            <w:tcMar>
              <w:top w:w="0" w:type="dxa"/>
              <w:bottom w:w="0" w:type="dxa"/>
            </w:tcMar>
            <w:vAlign w:val="center"/>
          </w:tcPr>
          <w:p w14:paraId="7507BB31" w14:textId="77777777" w:rsidR="00FA238F" w:rsidRDefault="00000000">
            <w:pPr>
              <w:keepNext/>
              <w:keepLines/>
              <w:spacing w:after="0" w:line="240" w:lineRule="auto"/>
              <w:jc w:val="right"/>
            </w:pPr>
            <w:r>
              <w:rPr>
                <w:sz w:val="18"/>
              </w:rPr>
              <w:t>486,2</w:t>
            </w:r>
          </w:p>
        </w:tc>
      </w:tr>
    </w:tbl>
    <w:p w14:paraId="14F7D3CC" w14:textId="77777777" w:rsidR="00FA238F" w:rsidRDefault="00FA238F">
      <w:pPr>
        <w:spacing w:after="0"/>
      </w:pPr>
    </w:p>
    <w:p w14:paraId="02850265" w14:textId="2D46BC8D" w:rsidR="00FA238F" w:rsidRDefault="00000000">
      <w:pPr>
        <w:spacing w:line="240" w:lineRule="auto"/>
        <w:jc w:val="both"/>
      </w:pPr>
      <w:r>
        <w:t xml:space="preserve">U izvještajnom razdoblju od 1.1.-30.6.2025. bilo je povećanje rashoda u ulaganju u nefinancijsku imovinu u odnosu na isto razdoblje prethodne godine. Do 30.6. nabavljena je sljedeća oprema : traktor kosilica, klima za kuhinju, ormari za stacionar, klima za blagovaonicu, kreveti.  Izvršena su i dodatna ulaganja u imovinu : dizalo B objekta, crpka za otpadne vode, usluge </w:t>
      </w:r>
      <w:r w:rsidR="004D50D8">
        <w:t>soboslikarskih</w:t>
      </w:r>
      <w:r>
        <w:t xml:space="preserve"> radova u sobama korisnika, sanacija plinske instalacije, dogradnja video nadzora.  Sva navedena nabavka opreme i ulaganja bila su neophodna zbog svoje dotrajalosti.  Zbog nabavke i odrađenih dodatnih ulaganja u prvom početku godine smanjiti će se troškovi održavanja opreme do kraja godine.</w:t>
      </w:r>
    </w:p>
    <w:p w14:paraId="43B98288" w14:textId="77777777" w:rsidR="00FA238F" w:rsidRDefault="00FA238F"/>
    <w:p w14:paraId="3ED16AD5" w14:textId="77777777" w:rsidR="00FA238F" w:rsidRDefault="00000000">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27B0F5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FC4C8B"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1117D6"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CC2E15"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10B518"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002EEA"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148EA3" w14:textId="77777777" w:rsidR="00FA238F" w:rsidRDefault="00000000">
            <w:pPr>
              <w:keepNext/>
              <w:keepLines/>
              <w:spacing w:after="0" w:line="240" w:lineRule="auto"/>
              <w:jc w:val="center"/>
            </w:pPr>
            <w:r>
              <w:rPr>
                <w:b/>
                <w:sz w:val="18"/>
              </w:rPr>
              <w:t>Indeks (%)</w:t>
            </w:r>
          </w:p>
        </w:tc>
      </w:tr>
      <w:tr w:rsidR="00FA238F" w14:paraId="3B444DEA" w14:textId="77777777">
        <w:tblPrEx>
          <w:tblCellMar>
            <w:top w:w="0" w:type="dxa"/>
            <w:bottom w:w="0" w:type="dxa"/>
          </w:tblCellMar>
        </w:tblPrEx>
        <w:trPr>
          <w:cantSplit/>
          <w:trHeight w:val="560"/>
        </w:trPr>
        <w:tc>
          <w:tcPr>
            <w:tcW w:w="700" w:type="dxa"/>
            <w:tcMar>
              <w:top w:w="0" w:type="dxa"/>
              <w:bottom w:w="0" w:type="dxa"/>
            </w:tcMar>
            <w:vAlign w:val="center"/>
          </w:tcPr>
          <w:p w14:paraId="4AD788D2" w14:textId="77777777" w:rsidR="00FA238F" w:rsidRDefault="00000000">
            <w:pPr>
              <w:keepNext/>
              <w:keepLines/>
              <w:spacing w:after="0" w:line="240" w:lineRule="auto"/>
            </w:pPr>
            <w:r>
              <w:rPr>
                <w:sz w:val="18"/>
              </w:rPr>
              <w:t>5443</w:t>
            </w:r>
          </w:p>
        </w:tc>
        <w:tc>
          <w:tcPr>
            <w:tcW w:w="3180" w:type="dxa"/>
            <w:tcMar>
              <w:top w:w="0" w:type="dxa"/>
              <w:bottom w:w="0" w:type="dxa"/>
            </w:tcMar>
            <w:vAlign w:val="center"/>
          </w:tcPr>
          <w:p w14:paraId="49A8C691" w14:textId="77777777" w:rsidR="00FA238F" w:rsidRDefault="00000000">
            <w:pPr>
              <w:keepNext/>
              <w:keepLines/>
              <w:spacing w:after="0" w:line="240" w:lineRule="auto"/>
            </w:pPr>
            <w:r>
              <w:rPr>
                <w:sz w:val="18"/>
              </w:rPr>
              <w:t>Otplata glavnice primljenih kredita od tuzemnih kreditnih institucija izvan javnog sektora</w:t>
            </w:r>
          </w:p>
        </w:tc>
        <w:tc>
          <w:tcPr>
            <w:tcW w:w="700" w:type="dxa"/>
            <w:tcMar>
              <w:top w:w="0" w:type="dxa"/>
              <w:bottom w:w="0" w:type="dxa"/>
            </w:tcMar>
            <w:vAlign w:val="center"/>
          </w:tcPr>
          <w:p w14:paraId="6AD68031" w14:textId="77777777" w:rsidR="00FA238F" w:rsidRDefault="00000000">
            <w:pPr>
              <w:keepNext/>
              <w:keepLines/>
              <w:spacing w:after="0" w:line="240" w:lineRule="auto"/>
            </w:pPr>
            <w:r>
              <w:rPr>
                <w:sz w:val="18"/>
              </w:rPr>
              <w:t>5443</w:t>
            </w:r>
          </w:p>
        </w:tc>
        <w:tc>
          <w:tcPr>
            <w:tcW w:w="1860" w:type="dxa"/>
            <w:tcMar>
              <w:top w:w="0" w:type="dxa"/>
              <w:bottom w:w="0" w:type="dxa"/>
            </w:tcMar>
            <w:vAlign w:val="center"/>
          </w:tcPr>
          <w:p w14:paraId="4200B7A2" w14:textId="77777777" w:rsidR="00FA238F" w:rsidRDefault="00000000">
            <w:pPr>
              <w:keepNext/>
              <w:keepLines/>
              <w:spacing w:after="0" w:line="240" w:lineRule="auto"/>
              <w:jc w:val="right"/>
            </w:pPr>
            <w:r>
              <w:rPr>
                <w:sz w:val="18"/>
              </w:rPr>
              <w:t>17.253,96</w:t>
            </w:r>
          </w:p>
        </w:tc>
        <w:tc>
          <w:tcPr>
            <w:tcW w:w="1860" w:type="dxa"/>
            <w:tcMar>
              <w:top w:w="0" w:type="dxa"/>
              <w:bottom w:w="0" w:type="dxa"/>
            </w:tcMar>
            <w:vAlign w:val="center"/>
          </w:tcPr>
          <w:p w14:paraId="3091A7FB" w14:textId="77777777" w:rsidR="00FA238F" w:rsidRDefault="00000000">
            <w:pPr>
              <w:keepNext/>
              <w:keepLines/>
              <w:spacing w:after="0" w:line="240" w:lineRule="auto"/>
              <w:jc w:val="right"/>
            </w:pPr>
            <w:r>
              <w:rPr>
                <w:sz w:val="18"/>
              </w:rPr>
              <w:t>17.253,96</w:t>
            </w:r>
          </w:p>
        </w:tc>
        <w:tc>
          <w:tcPr>
            <w:tcW w:w="700" w:type="dxa"/>
            <w:tcMar>
              <w:top w:w="0" w:type="dxa"/>
              <w:bottom w:w="0" w:type="dxa"/>
            </w:tcMar>
            <w:vAlign w:val="center"/>
          </w:tcPr>
          <w:p w14:paraId="5EE611C3" w14:textId="77777777" w:rsidR="00FA238F" w:rsidRDefault="00000000">
            <w:pPr>
              <w:keepNext/>
              <w:keepLines/>
              <w:spacing w:after="0" w:line="240" w:lineRule="auto"/>
              <w:jc w:val="right"/>
            </w:pPr>
            <w:r>
              <w:rPr>
                <w:sz w:val="18"/>
              </w:rPr>
              <w:t>100</w:t>
            </w:r>
          </w:p>
        </w:tc>
      </w:tr>
    </w:tbl>
    <w:p w14:paraId="466DEF50" w14:textId="77777777" w:rsidR="00FA238F" w:rsidRDefault="00FA238F">
      <w:pPr>
        <w:spacing w:after="0"/>
      </w:pPr>
    </w:p>
    <w:p w14:paraId="028299B9" w14:textId="77777777" w:rsidR="00FA238F" w:rsidRDefault="00000000">
      <w:pPr>
        <w:spacing w:line="240" w:lineRule="auto"/>
        <w:jc w:val="both"/>
      </w:pPr>
      <w:r>
        <w:t>Na poziciji 5443 računskog plana ostvaren je izdatak u iznosu od 17.253,96 eura a odnosi se na izdatke za podmirenje dugoročnog kredita na rok 10 godina od Hrvatske banke za obnovu i razvoj za rashode nastale pri energetskoj obnovi. Kredit se redovito u mjesečnim ratama otplaćuje iz vlastitih izvora ostvarenih najmom prostora Doma.</w:t>
      </w:r>
    </w:p>
    <w:p w14:paraId="674FF086" w14:textId="77777777" w:rsidR="00FA238F" w:rsidRDefault="00FA238F"/>
    <w:p w14:paraId="00CB25DE" w14:textId="77777777" w:rsidR="00FA238F"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2EFBB3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787052"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79B5E3"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437800"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5F98D8"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774381"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6565B5" w14:textId="77777777" w:rsidR="00FA238F" w:rsidRDefault="00000000">
            <w:pPr>
              <w:keepNext/>
              <w:keepLines/>
              <w:spacing w:after="0" w:line="240" w:lineRule="auto"/>
              <w:jc w:val="center"/>
            </w:pPr>
            <w:r>
              <w:rPr>
                <w:b/>
                <w:sz w:val="18"/>
              </w:rPr>
              <w:t>Indeks (%)</w:t>
            </w:r>
          </w:p>
        </w:tc>
      </w:tr>
      <w:tr w:rsidR="00FA238F" w14:paraId="05546EF5" w14:textId="77777777">
        <w:tblPrEx>
          <w:tblCellMar>
            <w:top w:w="0" w:type="dxa"/>
            <w:bottom w:w="0" w:type="dxa"/>
          </w:tblCellMar>
        </w:tblPrEx>
        <w:trPr>
          <w:cantSplit/>
          <w:trHeight w:val="560"/>
        </w:trPr>
        <w:tc>
          <w:tcPr>
            <w:tcW w:w="700" w:type="dxa"/>
            <w:tcMar>
              <w:top w:w="0" w:type="dxa"/>
              <w:bottom w:w="0" w:type="dxa"/>
            </w:tcMar>
            <w:vAlign w:val="center"/>
          </w:tcPr>
          <w:p w14:paraId="0919CBE4" w14:textId="77777777" w:rsidR="00FA238F" w:rsidRDefault="00000000">
            <w:pPr>
              <w:keepNext/>
              <w:keepLines/>
              <w:spacing w:after="0" w:line="240" w:lineRule="auto"/>
            </w:pPr>
            <w:r>
              <w:rPr>
                <w:sz w:val="18"/>
              </w:rPr>
              <w:t>19</w:t>
            </w:r>
          </w:p>
        </w:tc>
        <w:tc>
          <w:tcPr>
            <w:tcW w:w="3180" w:type="dxa"/>
            <w:tcMar>
              <w:top w:w="0" w:type="dxa"/>
              <w:bottom w:w="0" w:type="dxa"/>
            </w:tcMar>
            <w:vAlign w:val="center"/>
          </w:tcPr>
          <w:p w14:paraId="3DAFB189" w14:textId="77777777" w:rsidR="00FA238F" w:rsidRDefault="00000000">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14:paraId="183AA818" w14:textId="77777777" w:rsidR="00FA238F" w:rsidRDefault="00000000">
            <w:pPr>
              <w:keepNext/>
              <w:keepLines/>
              <w:spacing w:after="0" w:line="240" w:lineRule="auto"/>
            </w:pPr>
            <w:r>
              <w:rPr>
                <w:sz w:val="18"/>
              </w:rPr>
              <w:t>19</w:t>
            </w:r>
          </w:p>
        </w:tc>
        <w:tc>
          <w:tcPr>
            <w:tcW w:w="1860" w:type="dxa"/>
            <w:tcMar>
              <w:top w:w="0" w:type="dxa"/>
              <w:bottom w:w="0" w:type="dxa"/>
            </w:tcMar>
            <w:vAlign w:val="center"/>
          </w:tcPr>
          <w:p w14:paraId="1D4F5399" w14:textId="77777777" w:rsidR="00FA238F" w:rsidRDefault="00000000">
            <w:pPr>
              <w:keepNext/>
              <w:keepLines/>
              <w:spacing w:after="0" w:line="240" w:lineRule="auto"/>
              <w:jc w:val="right"/>
            </w:pPr>
            <w:r>
              <w:rPr>
                <w:sz w:val="18"/>
              </w:rPr>
              <w:t>159.989,36</w:t>
            </w:r>
          </w:p>
        </w:tc>
        <w:tc>
          <w:tcPr>
            <w:tcW w:w="1860" w:type="dxa"/>
            <w:tcMar>
              <w:top w:w="0" w:type="dxa"/>
              <w:bottom w:w="0" w:type="dxa"/>
            </w:tcMar>
            <w:vAlign w:val="center"/>
          </w:tcPr>
          <w:p w14:paraId="0746D4E0" w14:textId="77777777" w:rsidR="00FA238F" w:rsidRDefault="00000000">
            <w:pPr>
              <w:keepNext/>
              <w:keepLines/>
              <w:spacing w:after="0" w:line="240" w:lineRule="auto"/>
              <w:jc w:val="right"/>
            </w:pPr>
            <w:r>
              <w:rPr>
                <w:sz w:val="18"/>
              </w:rPr>
              <w:t>0,00</w:t>
            </w:r>
          </w:p>
        </w:tc>
        <w:tc>
          <w:tcPr>
            <w:tcW w:w="700" w:type="dxa"/>
            <w:tcMar>
              <w:top w:w="0" w:type="dxa"/>
              <w:bottom w:w="0" w:type="dxa"/>
            </w:tcMar>
            <w:vAlign w:val="center"/>
          </w:tcPr>
          <w:p w14:paraId="43614302" w14:textId="77777777" w:rsidR="00FA238F" w:rsidRDefault="00000000">
            <w:pPr>
              <w:keepNext/>
              <w:keepLines/>
              <w:spacing w:after="0" w:line="240" w:lineRule="auto"/>
              <w:jc w:val="right"/>
            </w:pPr>
            <w:r>
              <w:rPr>
                <w:sz w:val="18"/>
              </w:rPr>
              <w:t>0</w:t>
            </w:r>
          </w:p>
        </w:tc>
      </w:tr>
    </w:tbl>
    <w:p w14:paraId="13316E92" w14:textId="77777777" w:rsidR="00FA238F" w:rsidRDefault="00FA238F">
      <w:pPr>
        <w:spacing w:after="0"/>
      </w:pPr>
    </w:p>
    <w:p w14:paraId="6A6B880A" w14:textId="77777777" w:rsidR="00FA238F" w:rsidRDefault="00000000">
      <w:pPr>
        <w:spacing w:line="240" w:lineRule="auto"/>
        <w:jc w:val="both"/>
      </w:pPr>
      <w:r>
        <w:t>Prema novom računskom planu nema više evidentiranje rashoda budućih razdoblja na poziciji 19 te je zbog toga knjižen jedan rashod plaće više u razdoblju 1-6/2025.</w:t>
      </w:r>
    </w:p>
    <w:p w14:paraId="3A4EDFE5" w14:textId="77777777" w:rsidR="00FA238F" w:rsidRDefault="00FA238F"/>
    <w:p w14:paraId="7EF01C1E" w14:textId="77777777" w:rsidR="00FA238F"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A238F" w14:paraId="629C3E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73B97C"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9FBD5C"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30612B"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0C73EE" w14:textId="77777777" w:rsidR="00FA238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4BFA" w14:textId="77777777" w:rsidR="00FA238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17797C" w14:textId="77777777" w:rsidR="00FA238F" w:rsidRDefault="00000000">
            <w:pPr>
              <w:keepNext/>
              <w:keepLines/>
              <w:spacing w:after="0" w:line="240" w:lineRule="auto"/>
              <w:jc w:val="center"/>
            </w:pPr>
            <w:r>
              <w:rPr>
                <w:b/>
                <w:sz w:val="18"/>
              </w:rPr>
              <w:t>Indeks (%)</w:t>
            </w:r>
          </w:p>
        </w:tc>
      </w:tr>
      <w:tr w:rsidR="00FA238F" w14:paraId="0B8E5AB8" w14:textId="77777777">
        <w:tblPrEx>
          <w:tblCellMar>
            <w:top w:w="0" w:type="dxa"/>
            <w:bottom w:w="0" w:type="dxa"/>
          </w:tblCellMar>
        </w:tblPrEx>
        <w:trPr>
          <w:cantSplit/>
          <w:trHeight w:val="560"/>
        </w:trPr>
        <w:tc>
          <w:tcPr>
            <w:tcW w:w="700" w:type="dxa"/>
            <w:tcMar>
              <w:top w:w="0" w:type="dxa"/>
              <w:bottom w:w="0" w:type="dxa"/>
            </w:tcMar>
            <w:vAlign w:val="center"/>
          </w:tcPr>
          <w:p w14:paraId="1F10B96F" w14:textId="77777777" w:rsidR="00FA238F" w:rsidRDefault="00000000">
            <w:pPr>
              <w:keepNext/>
              <w:keepLines/>
              <w:spacing w:after="0" w:line="240" w:lineRule="auto"/>
            </w:pPr>
            <w:r>
              <w:rPr>
                <w:sz w:val="18"/>
              </w:rPr>
              <w:t>11</w:t>
            </w:r>
          </w:p>
        </w:tc>
        <w:tc>
          <w:tcPr>
            <w:tcW w:w="3180" w:type="dxa"/>
            <w:tcMar>
              <w:top w:w="0" w:type="dxa"/>
              <w:bottom w:w="0" w:type="dxa"/>
            </w:tcMar>
            <w:vAlign w:val="center"/>
          </w:tcPr>
          <w:p w14:paraId="5FA69211" w14:textId="77777777" w:rsidR="00FA238F"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143E7F9A" w14:textId="77777777" w:rsidR="00FA238F" w:rsidRDefault="00000000">
            <w:pPr>
              <w:keepNext/>
              <w:keepLines/>
              <w:spacing w:after="0" w:line="240" w:lineRule="auto"/>
            </w:pPr>
            <w:r>
              <w:rPr>
                <w:sz w:val="18"/>
              </w:rPr>
              <w:t>11K</w:t>
            </w:r>
          </w:p>
        </w:tc>
        <w:tc>
          <w:tcPr>
            <w:tcW w:w="1860" w:type="dxa"/>
            <w:tcMar>
              <w:top w:w="0" w:type="dxa"/>
              <w:bottom w:w="0" w:type="dxa"/>
            </w:tcMar>
            <w:vAlign w:val="center"/>
          </w:tcPr>
          <w:p w14:paraId="3CB2003A" w14:textId="77777777" w:rsidR="00FA238F" w:rsidRDefault="00000000">
            <w:pPr>
              <w:keepNext/>
              <w:keepLines/>
              <w:spacing w:after="0" w:line="240" w:lineRule="auto"/>
              <w:jc w:val="right"/>
            </w:pPr>
            <w:r>
              <w:rPr>
                <w:sz w:val="18"/>
              </w:rPr>
              <w:t>40.885,41</w:t>
            </w:r>
          </w:p>
        </w:tc>
        <w:tc>
          <w:tcPr>
            <w:tcW w:w="1860" w:type="dxa"/>
            <w:tcMar>
              <w:top w:w="0" w:type="dxa"/>
              <w:bottom w:w="0" w:type="dxa"/>
            </w:tcMar>
            <w:vAlign w:val="center"/>
          </w:tcPr>
          <w:p w14:paraId="13BF7D47" w14:textId="77777777" w:rsidR="00FA238F" w:rsidRDefault="00000000">
            <w:pPr>
              <w:keepNext/>
              <w:keepLines/>
              <w:spacing w:after="0" w:line="240" w:lineRule="auto"/>
              <w:jc w:val="right"/>
            </w:pPr>
            <w:r>
              <w:rPr>
                <w:sz w:val="18"/>
              </w:rPr>
              <w:t>96.461,79</w:t>
            </w:r>
          </w:p>
        </w:tc>
        <w:tc>
          <w:tcPr>
            <w:tcW w:w="700" w:type="dxa"/>
            <w:tcMar>
              <w:top w:w="0" w:type="dxa"/>
              <w:bottom w:w="0" w:type="dxa"/>
            </w:tcMar>
            <w:vAlign w:val="center"/>
          </w:tcPr>
          <w:p w14:paraId="3435B5DB" w14:textId="77777777" w:rsidR="00FA238F" w:rsidRDefault="00000000">
            <w:pPr>
              <w:keepNext/>
              <w:keepLines/>
              <w:spacing w:after="0" w:line="240" w:lineRule="auto"/>
              <w:jc w:val="right"/>
            </w:pPr>
            <w:r>
              <w:rPr>
                <w:sz w:val="18"/>
              </w:rPr>
              <w:t>235,9</w:t>
            </w:r>
          </w:p>
        </w:tc>
      </w:tr>
    </w:tbl>
    <w:p w14:paraId="6F3AF53F" w14:textId="77777777" w:rsidR="00FA238F" w:rsidRDefault="00FA238F">
      <w:pPr>
        <w:spacing w:after="0"/>
      </w:pPr>
    </w:p>
    <w:p w14:paraId="43DF58C3" w14:textId="77777777" w:rsidR="00FA238F" w:rsidRDefault="00000000">
      <w:pPr>
        <w:spacing w:line="240" w:lineRule="auto"/>
        <w:jc w:val="both"/>
      </w:pPr>
      <w:r>
        <w:t>Dio financijskih sredstava na računu odnosi se na jamstva za ozbiljnost ponude za ugradnju vatrodojave te aktiviranje zadužnice od izvođača radova energetske obnove te namjenske prihode od HZZ-a za djelatnicu preko javnih radova. Na navedeno se odnosi 69.109,82 eura na računu.</w:t>
      </w:r>
    </w:p>
    <w:p w14:paraId="6A5D19D0" w14:textId="77777777" w:rsidR="00FA238F" w:rsidRDefault="00FA238F"/>
    <w:p w14:paraId="10B42CC3" w14:textId="77777777" w:rsidR="00FA238F" w:rsidRDefault="00000000">
      <w:pPr>
        <w:keepNext/>
        <w:spacing w:line="240" w:lineRule="auto"/>
        <w:jc w:val="center"/>
      </w:pPr>
      <w:r>
        <w:rPr>
          <w:b/>
          <w:sz w:val="28"/>
        </w:rPr>
        <w:t>Izvještaj o obvezama</w:t>
      </w:r>
    </w:p>
    <w:p w14:paraId="6B25F367" w14:textId="77777777" w:rsidR="00FA238F"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A238F" w14:paraId="629E4D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F7A9F6"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3FF971"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512AEF"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E8E638" w14:textId="77777777" w:rsidR="00FA238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FD4D28D" w14:textId="77777777" w:rsidR="00FA238F" w:rsidRDefault="00000000">
            <w:pPr>
              <w:keepNext/>
              <w:keepLines/>
              <w:spacing w:after="0" w:line="240" w:lineRule="auto"/>
              <w:jc w:val="center"/>
            </w:pPr>
            <w:r>
              <w:rPr>
                <w:b/>
                <w:sz w:val="18"/>
              </w:rPr>
              <w:t>Indeks (%)</w:t>
            </w:r>
          </w:p>
        </w:tc>
      </w:tr>
      <w:tr w:rsidR="00FA238F" w14:paraId="3DAE92D2" w14:textId="77777777">
        <w:tblPrEx>
          <w:tblCellMar>
            <w:top w:w="0" w:type="dxa"/>
            <w:bottom w:w="0" w:type="dxa"/>
          </w:tblCellMar>
        </w:tblPrEx>
        <w:trPr>
          <w:cantSplit/>
          <w:trHeight w:val="560"/>
        </w:trPr>
        <w:tc>
          <w:tcPr>
            <w:tcW w:w="700" w:type="dxa"/>
            <w:tcMar>
              <w:top w:w="0" w:type="dxa"/>
              <w:bottom w:w="0" w:type="dxa"/>
            </w:tcMar>
            <w:vAlign w:val="center"/>
          </w:tcPr>
          <w:p w14:paraId="6E19B97B" w14:textId="77777777" w:rsidR="00FA238F" w:rsidRDefault="00FA238F">
            <w:pPr>
              <w:keepNext/>
              <w:keepLines/>
              <w:spacing w:after="0" w:line="240" w:lineRule="auto"/>
            </w:pPr>
          </w:p>
        </w:tc>
        <w:tc>
          <w:tcPr>
            <w:tcW w:w="3180" w:type="dxa"/>
            <w:tcMar>
              <w:top w:w="0" w:type="dxa"/>
              <w:bottom w:w="0" w:type="dxa"/>
            </w:tcMar>
            <w:vAlign w:val="center"/>
          </w:tcPr>
          <w:p w14:paraId="6BED91C0" w14:textId="77777777" w:rsidR="00FA238F"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13FD6C83" w14:textId="77777777" w:rsidR="00FA238F" w:rsidRDefault="00000000">
            <w:pPr>
              <w:keepNext/>
              <w:keepLines/>
              <w:spacing w:after="0" w:line="240" w:lineRule="auto"/>
            </w:pPr>
            <w:r>
              <w:rPr>
                <w:sz w:val="18"/>
              </w:rPr>
              <w:t>V006</w:t>
            </w:r>
          </w:p>
        </w:tc>
        <w:tc>
          <w:tcPr>
            <w:tcW w:w="1860" w:type="dxa"/>
            <w:tcMar>
              <w:top w:w="0" w:type="dxa"/>
              <w:bottom w:w="0" w:type="dxa"/>
            </w:tcMar>
            <w:vAlign w:val="center"/>
          </w:tcPr>
          <w:p w14:paraId="7C389782" w14:textId="77777777" w:rsidR="00FA238F" w:rsidRDefault="00000000">
            <w:pPr>
              <w:keepNext/>
              <w:keepLines/>
              <w:spacing w:after="0" w:line="240" w:lineRule="auto"/>
              <w:jc w:val="right"/>
            </w:pPr>
            <w:r>
              <w:rPr>
                <w:sz w:val="18"/>
              </w:rPr>
              <w:t>558.633,30</w:t>
            </w:r>
          </w:p>
        </w:tc>
        <w:tc>
          <w:tcPr>
            <w:tcW w:w="700" w:type="dxa"/>
            <w:tcMar>
              <w:top w:w="0" w:type="dxa"/>
              <w:bottom w:w="0" w:type="dxa"/>
            </w:tcMar>
            <w:vAlign w:val="center"/>
          </w:tcPr>
          <w:p w14:paraId="22193FBA" w14:textId="77777777" w:rsidR="00FA238F" w:rsidRDefault="00000000">
            <w:pPr>
              <w:keepNext/>
              <w:keepLines/>
              <w:spacing w:after="0" w:line="240" w:lineRule="auto"/>
              <w:jc w:val="right"/>
            </w:pPr>
            <w:r>
              <w:rPr>
                <w:sz w:val="18"/>
              </w:rPr>
              <w:t>-</w:t>
            </w:r>
          </w:p>
        </w:tc>
      </w:tr>
    </w:tbl>
    <w:p w14:paraId="6D434A5E" w14:textId="77777777" w:rsidR="00FA238F" w:rsidRDefault="00FA238F">
      <w:pPr>
        <w:spacing w:after="0"/>
      </w:pPr>
    </w:p>
    <w:p w14:paraId="4988EE4F" w14:textId="7A40490D" w:rsidR="00FA238F" w:rsidRDefault="00000000">
      <w:pPr>
        <w:spacing w:line="240" w:lineRule="auto"/>
        <w:jc w:val="both"/>
      </w:pPr>
      <w:r>
        <w:lastRenderedPageBreak/>
        <w:t xml:space="preserve">Ukupne obveze na kraju izvještajnog razdoblja iznose 558.633,30 eura a najveći dio u iznosu od 258.809,48 eura odnosi se na kredit HBOR-a za energetsku obnovu te 194.180,11 eura na </w:t>
      </w:r>
      <w:r w:rsidR="004D50D8">
        <w:t>nedospjele</w:t>
      </w:r>
      <w:r>
        <w:t xml:space="preserve"> obveze za zaposlene i honorare za rad UV i doktorice korisnika.</w:t>
      </w:r>
    </w:p>
    <w:p w14:paraId="252B37C6" w14:textId="77777777" w:rsidR="00FA238F" w:rsidRDefault="00FA238F"/>
    <w:p w14:paraId="06077010" w14:textId="77777777" w:rsidR="00FA238F"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A238F" w14:paraId="74BAB2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62D413"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6EDAEE"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D1CA3B"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481752" w14:textId="77777777" w:rsidR="00FA238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EB36F1E" w14:textId="77777777" w:rsidR="00FA238F" w:rsidRDefault="00000000">
            <w:pPr>
              <w:keepNext/>
              <w:keepLines/>
              <w:spacing w:after="0" w:line="240" w:lineRule="auto"/>
              <w:jc w:val="center"/>
            </w:pPr>
            <w:r>
              <w:rPr>
                <w:b/>
                <w:sz w:val="18"/>
              </w:rPr>
              <w:t>Indeks (%)</w:t>
            </w:r>
          </w:p>
        </w:tc>
      </w:tr>
      <w:tr w:rsidR="00FA238F" w14:paraId="66245A96" w14:textId="77777777">
        <w:tblPrEx>
          <w:tblCellMar>
            <w:top w:w="0" w:type="dxa"/>
            <w:bottom w:w="0" w:type="dxa"/>
          </w:tblCellMar>
        </w:tblPrEx>
        <w:trPr>
          <w:cantSplit/>
          <w:trHeight w:val="560"/>
        </w:trPr>
        <w:tc>
          <w:tcPr>
            <w:tcW w:w="700" w:type="dxa"/>
            <w:tcMar>
              <w:top w:w="0" w:type="dxa"/>
              <w:bottom w:w="0" w:type="dxa"/>
            </w:tcMar>
            <w:vAlign w:val="center"/>
          </w:tcPr>
          <w:p w14:paraId="396F36FE" w14:textId="77777777" w:rsidR="00FA238F" w:rsidRDefault="00FA238F">
            <w:pPr>
              <w:keepNext/>
              <w:keepLines/>
              <w:spacing w:after="0" w:line="240" w:lineRule="auto"/>
            </w:pPr>
          </w:p>
        </w:tc>
        <w:tc>
          <w:tcPr>
            <w:tcW w:w="3180" w:type="dxa"/>
            <w:tcMar>
              <w:top w:w="0" w:type="dxa"/>
              <w:bottom w:w="0" w:type="dxa"/>
            </w:tcMar>
            <w:vAlign w:val="center"/>
          </w:tcPr>
          <w:p w14:paraId="7A9D82B7" w14:textId="77777777" w:rsidR="00FA238F"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7AC9B86" w14:textId="77777777" w:rsidR="00FA238F" w:rsidRDefault="00000000">
            <w:pPr>
              <w:keepNext/>
              <w:keepLines/>
              <w:spacing w:after="0" w:line="240" w:lineRule="auto"/>
            </w:pPr>
            <w:r>
              <w:rPr>
                <w:sz w:val="18"/>
              </w:rPr>
              <w:t>V007</w:t>
            </w:r>
          </w:p>
        </w:tc>
        <w:tc>
          <w:tcPr>
            <w:tcW w:w="1860" w:type="dxa"/>
            <w:tcMar>
              <w:top w:w="0" w:type="dxa"/>
              <w:bottom w:w="0" w:type="dxa"/>
            </w:tcMar>
            <w:vAlign w:val="center"/>
          </w:tcPr>
          <w:p w14:paraId="03D70CAB" w14:textId="77777777" w:rsidR="00FA238F" w:rsidRDefault="00000000">
            <w:pPr>
              <w:keepNext/>
              <w:keepLines/>
              <w:spacing w:after="0" w:line="240" w:lineRule="auto"/>
              <w:jc w:val="right"/>
            </w:pPr>
            <w:r>
              <w:rPr>
                <w:sz w:val="18"/>
              </w:rPr>
              <w:t>13.721,14</w:t>
            </w:r>
          </w:p>
        </w:tc>
        <w:tc>
          <w:tcPr>
            <w:tcW w:w="700" w:type="dxa"/>
            <w:tcMar>
              <w:top w:w="0" w:type="dxa"/>
              <w:bottom w:w="0" w:type="dxa"/>
            </w:tcMar>
            <w:vAlign w:val="center"/>
          </w:tcPr>
          <w:p w14:paraId="6C0DBD4E" w14:textId="77777777" w:rsidR="00FA238F" w:rsidRDefault="00000000">
            <w:pPr>
              <w:keepNext/>
              <w:keepLines/>
              <w:spacing w:after="0" w:line="240" w:lineRule="auto"/>
              <w:jc w:val="right"/>
            </w:pPr>
            <w:r>
              <w:rPr>
                <w:sz w:val="18"/>
              </w:rPr>
              <w:t>-</w:t>
            </w:r>
          </w:p>
        </w:tc>
      </w:tr>
    </w:tbl>
    <w:p w14:paraId="1BB41312" w14:textId="77777777" w:rsidR="00FA238F" w:rsidRDefault="00FA238F">
      <w:pPr>
        <w:spacing w:after="0"/>
      </w:pPr>
    </w:p>
    <w:p w14:paraId="664C6690" w14:textId="1B014569" w:rsidR="00FA238F" w:rsidRDefault="00000000">
      <w:pPr>
        <w:spacing w:line="240" w:lineRule="auto"/>
        <w:jc w:val="both"/>
      </w:pPr>
      <w:r>
        <w:t xml:space="preserve">Na dan 30. lipnja 2025. godine iznos dospjelih a neplaćenih obveza iznosi 13.721,14 eura.  Navedeni iznos odnosi se na obveze koje zbog nedostatka sredstava nisu mogle biti plaćene u dospijeću te će se podmiriti u srpnju. Obveze prema dobavljačima se plaćaju prema prioritetima te dio obveza ostane u svakom izvještajnom razdoblju neplaćen a unutar dospijeća zbog nedostatnih sredstava za plaćanje dobavljačima zbog neplaniranih troškova koji se uglavnom odnose na održavanje Doma. Nastoji se </w:t>
      </w:r>
      <w:r w:rsidR="004D50D8">
        <w:t>doseći</w:t>
      </w:r>
      <w:r>
        <w:t xml:space="preserve"> razinu da se sve obveze prema dobavljačima podmiruju unutar </w:t>
      </w:r>
      <w:r w:rsidR="004D50D8">
        <w:t>dospijeća</w:t>
      </w:r>
      <w:r>
        <w:t xml:space="preserve"> računa kako bi se izbjegle opomene i zatezne kamate te održala dobra suradnja s dobavljačima.</w:t>
      </w:r>
    </w:p>
    <w:p w14:paraId="1C079807" w14:textId="77777777" w:rsidR="00FA238F" w:rsidRDefault="00FA238F"/>
    <w:p w14:paraId="6A6005BA" w14:textId="77777777" w:rsidR="00FA238F"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A238F" w14:paraId="7A5BBB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B1D3"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5AABCB"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7D50CE"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91CDCF" w14:textId="77777777" w:rsidR="00FA238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D914D9F" w14:textId="77777777" w:rsidR="00FA238F" w:rsidRDefault="00000000">
            <w:pPr>
              <w:keepNext/>
              <w:keepLines/>
              <w:spacing w:after="0" w:line="240" w:lineRule="auto"/>
              <w:jc w:val="center"/>
            </w:pPr>
            <w:r>
              <w:rPr>
                <w:b/>
                <w:sz w:val="18"/>
              </w:rPr>
              <w:t>Indeks (%)</w:t>
            </w:r>
          </w:p>
        </w:tc>
      </w:tr>
      <w:tr w:rsidR="00FA238F" w14:paraId="5D8BB230" w14:textId="77777777">
        <w:tblPrEx>
          <w:tblCellMar>
            <w:top w:w="0" w:type="dxa"/>
            <w:bottom w:w="0" w:type="dxa"/>
          </w:tblCellMar>
        </w:tblPrEx>
        <w:trPr>
          <w:cantSplit/>
          <w:trHeight w:val="560"/>
        </w:trPr>
        <w:tc>
          <w:tcPr>
            <w:tcW w:w="700" w:type="dxa"/>
            <w:tcMar>
              <w:top w:w="0" w:type="dxa"/>
              <w:bottom w:w="0" w:type="dxa"/>
            </w:tcMar>
            <w:vAlign w:val="center"/>
          </w:tcPr>
          <w:p w14:paraId="2C2C9000" w14:textId="77777777" w:rsidR="00FA238F" w:rsidRDefault="00000000">
            <w:pPr>
              <w:keepNext/>
              <w:keepLines/>
              <w:spacing w:after="0" w:line="240" w:lineRule="auto"/>
            </w:pPr>
            <w:r>
              <w:rPr>
                <w:sz w:val="18"/>
              </w:rPr>
              <w:t>23</w:t>
            </w:r>
          </w:p>
        </w:tc>
        <w:tc>
          <w:tcPr>
            <w:tcW w:w="3180" w:type="dxa"/>
            <w:tcMar>
              <w:top w:w="0" w:type="dxa"/>
              <w:bottom w:w="0" w:type="dxa"/>
            </w:tcMar>
            <w:vAlign w:val="center"/>
          </w:tcPr>
          <w:p w14:paraId="449D178E" w14:textId="77777777" w:rsidR="00FA238F"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599D8E55" w14:textId="77777777" w:rsidR="00FA238F" w:rsidRDefault="00000000">
            <w:pPr>
              <w:keepNext/>
              <w:keepLines/>
              <w:spacing w:after="0" w:line="240" w:lineRule="auto"/>
            </w:pPr>
            <w:r>
              <w:rPr>
                <w:sz w:val="18"/>
              </w:rPr>
              <w:t>ND23</w:t>
            </w:r>
          </w:p>
        </w:tc>
        <w:tc>
          <w:tcPr>
            <w:tcW w:w="1860" w:type="dxa"/>
            <w:tcMar>
              <w:top w:w="0" w:type="dxa"/>
              <w:bottom w:w="0" w:type="dxa"/>
            </w:tcMar>
            <w:vAlign w:val="center"/>
          </w:tcPr>
          <w:p w14:paraId="0C6A345D" w14:textId="77777777" w:rsidR="00FA238F" w:rsidRDefault="00000000">
            <w:pPr>
              <w:keepNext/>
              <w:keepLines/>
              <w:spacing w:after="0" w:line="240" w:lineRule="auto"/>
              <w:jc w:val="right"/>
            </w:pPr>
            <w:r>
              <w:rPr>
                <w:sz w:val="18"/>
              </w:rPr>
              <w:t>264.790,90</w:t>
            </w:r>
          </w:p>
        </w:tc>
        <w:tc>
          <w:tcPr>
            <w:tcW w:w="700" w:type="dxa"/>
            <w:tcMar>
              <w:top w:w="0" w:type="dxa"/>
              <w:bottom w:w="0" w:type="dxa"/>
            </w:tcMar>
            <w:vAlign w:val="center"/>
          </w:tcPr>
          <w:p w14:paraId="61679353" w14:textId="77777777" w:rsidR="00FA238F" w:rsidRDefault="00000000">
            <w:pPr>
              <w:keepNext/>
              <w:keepLines/>
              <w:spacing w:after="0" w:line="240" w:lineRule="auto"/>
              <w:jc w:val="right"/>
            </w:pPr>
            <w:r>
              <w:rPr>
                <w:sz w:val="18"/>
              </w:rPr>
              <w:t>-</w:t>
            </w:r>
          </w:p>
        </w:tc>
      </w:tr>
    </w:tbl>
    <w:p w14:paraId="533FCFE0" w14:textId="77777777" w:rsidR="00FA238F" w:rsidRDefault="00FA238F">
      <w:pPr>
        <w:spacing w:after="0"/>
      </w:pPr>
    </w:p>
    <w:p w14:paraId="5216A88E" w14:textId="1153C778" w:rsidR="00FA238F" w:rsidRDefault="00000000">
      <w:pPr>
        <w:spacing w:line="240" w:lineRule="auto"/>
        <w:jc w:val="both"/>
      </w:pPr>
      <w:r>
        <w:t xml:space="preserve">Od ukupnog iznosa od 264.790,90 eura na rashode zaposlenih i honorara (UV i doktorica) odnosi se 194.180,11 eura. Navedeni iznos odnosi se na plaće, regres, jubilarne, otpremninu i naknade za rad ostvarene u lipnju te s </w:t>
      </w:r>
      <w:r w:rsidR="004D50D8">
        <w:t>dospijećem</w:t>
      </w:r>
      <w:r>
        <w:t xml:space="preserve"> u srpnju kada će navedene obveze biti podmirene. Ostatak iznosa iskazan na 23 poziciji odnosi se na nedospjele obveze dobavljača.</w:t>
      </w:r>
    </w:p>
    <w:p w14:paraId="4A4D23CE" w14:textId="77777777" w:rsidR="00FA238F" w:rsidRDefault="00FA238F"/>
    <w:p w14:paraId="0C6375F9" w14:textId="77777777" w:rsidR="00FA238F"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A238F" w14:paraId="6FF86D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B186A8"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87B385"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FEE302"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57C0EE" w14:textId="77777777" w:rsidR="00FA238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1915861" w14:textId="77777777" w:rsidR="00FA238F" w:rsidRDefault="00000000">
            <w:pPr>
              <w:keepNext/>
              <w:keepLines/>
              <w:spacing w:after="0" w:line="240" w:lineRule="auto"/>
              <w:jc w:val="center"/>
            </w:pPr>
            <w:r>
              <w:rPr>
                <w:b/>
                <w:sz w:val="18"/>
              </w:rPr>
              <w:t>Indeks (%)</w:t>
            </w:r>
          </w:p>
        </w:tc>
      </w:tr>
      <w:tr w:rsidR="00FA238F" w14:paraId="58F36C8B" w14:textId="77777777">
        <w:tblPrEx>
          <w:tblCellMar>
            <w:top w:w="0" w:type="dxa"/>
            <w:bottom w:w="0" w:type="dxa"/>
          </w:tblCellMar>
        </w:tblPrEx>
        <w:trPr>
          <w:cantSplit/>
          <w:trHeight w:val="560"/>
        </w:trPr>
        <w:tc>
          <w:tcPr>
            <w:tcW w:w="700" w:type="dxa"/>
            <w:tcMar>
              <w:top w:w="0" w:type="dxa"/>
              <w:bottom w:w="0" w:type="dxa"/>
            </w:tcMar>
            <w:vAlign w:val="center"/>
          </w:tcPr>
          <w:p w14:paraId="287CC0FA" w14:textId="77777777" w:rsidR="00FA238F" w:rsidRDefault="00000000">
            <w:pPr>
              <w:keepNext/>
              <w:keepLines/>
              <w:spacing w:after="0" w:line="240" w:lineRule="auto"/>
            </w:pPr>
            <w:r>
              <w:rPr>
                <w:sz w:val="18"/>
              </w:rPr>
              <w:t>24</w:t>
            </w:r>
          </w:p>
        </w:tc>
        <w:tc>
          <w:tcPr>
            <w:tcW w:w="3180" w:type="dxa"/>
            <w:tcMar>
              <w:top w:w="0" w:type="dxa"/>
              <w:bottom w:w="0" w:type="dxa"/>
            </w:tcMar>
            <w:vAlign w:val="center"/>
          </w:tcPr>
          <w:p w14:paraId="5503F948" w14:textId="77777777" w:rsidR="00FA238F"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147F1D6B" w14:textId="77777777" w:rsidR="00FA238F" w:rsidRDefault="00000000">
            <w:pPr>
              <w:keepNext/>
              <w:keepLines/>
              <w:spacing w:after="0" w:line="240" w:lineRule="auto"/>
            </w:pPr>
            <w:r>
              <w:rPr>
                <w:sz w:val="18"/>
              </w:rPr>
              <w:t>ND24</w:t>
            </w:r>
          </w:p>
        </w:tc>
        <w:tc>
          <w:tcPr>
            <w:tcW w:w="1860" w:type="dxa"/>
            <w:tcMar>
              <w:top w:w="0" w:type="dxa"/>
              <w:bottom w:w="0" w:type="dxa"/>
            </w:tcMar>
            <w:vAlign w:val="center"/>
          </w:tcPr>
          <w:p w14:paraId="6B9858AD" w14:textId="77777777" w:rsidR="00FA238F" w:rsidRDefault="00000000">
            <w:pPr>
              <w:keepNext/>
              <w:keepLines/>
              <w:spacing w:after="0" w:line="240" w:lineRule="auto"/>
              <w:jc w:val="right"/>
            </w:pPr>
            <w:r>
              <w:rPr>
                <w:sz w:val="18"/>
              </w:rPr>
              <w:t>21.311,78</w:t>
            </w:r>
          </w:p>
        </w:tc>
        <w:tc>
          <w:tcPr>
            <w:tcW w:w="700" w:type="dxa"/>
            <w:tcMar>
              <w:top w:w="0" w:type="dxa"/>
              <w:bottom w:w="0" w:type="dxa"/>
            </w:tcMar>
            <w:vAlign w:val="center"/>
          </w:tcPr>
          <w:p w14:paraId="4E8ED7A3" w14:textId="77777777" w:rsidR="00FA238F" w:rsidRDefault="00000000">
            <w:pPr>
              <w:keepNext/>
              <w:keepLines/>
              <w:spacing w:after="0" w:line="240" w:lineRule="auto"/>
              <w:jc w:val="right"/>
            </w:pPr>
            <w:r>
              <w:rPr>
                <w:sz w:val="18"/>
              </w:rPr>
              <w:t>-</w:t>
            </w:r>
          </w:p>
        </w:tc>
      </w:tr>
    </w:tbl>
    <w:p w14:paraId="0D97F2A8" w14:textId="77777777" w:rsidR="00FA238F" w:rsidRDefault="00FA238F">
      <w:pPr>
        <w:spacing w:after="0"/>
      </w:pPr>
    </w:p>
    <w:p w14:paraId="1944C890" w14:textId="77777777" w:rsidR="00FA238F" w:rsidRDefault="00000000">
      <w:pPr>
        <w:spacing w:line="240" w:lineRule="auto"/>
        <w:jc w:val="both"/>
      </w:pPr>
      <w:r>
        <w:t>Nabavljena je nefinancijska imovina : ormari za stacionar i napravljena su dodatna ulaganja u dizalo u B objektu. Navedeni iznos biti će podmiren iz decentraliziranih sredstava tijekom srpnja. Ulaganja su bila neophodna radi dotrajalosti ormara i dizala i radi povećanja sigurnosti korisnika.</w:t>
      </w:r>
    </w:p>
    <w:p w14:paraId="7ECEF242" w14:textId="77777777" w:rsidR="00FA238F" w:rsidRDefault="00FA238F"/>
    <w:p w14:paraId="6430C5C9" w14:textId="77777777" w:rsidR="00FA238F" w:rsidRDefault="00000000">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A238F" w14:paraId="5154C7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209AF1" w14:textId="77777777" w:rsidR="00FA238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E4F11D" w14:textId="77777777" w:rsidR="00FA238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0285AF" w14:textId="77777777" w:rsidR="00FA238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CF3B20" w14:textId="77777777" w:rsidR="00FA238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11C2F71" w14:textId="77777777" w:rsidR="00FA238F" w:rsidRDefault="00000000">
            <w:pPr>
              <w:keepNext/>
              <w:keepLines/>
              <w:spacing w:after="0" w:line="240" w:lineRule="auto"/>
              <w:jc w:val="center"/>
            </w:pPr>
            <w:r>
              <w:rPr>
                <w:b/>
                <w:sz w:val="18"/>
              </w:rPr>
              <w:t>Indeks (%)</w:t>
            </w:r>
          </w:p>
        </w:tc>
      </w:tr>
      <w:tr w:rsidR="00FA238F" w14:paraId="2380981E" w14:textId="77777777">
        <w:tblPrEx>
          <w:tblCellMar>
            <w:top w:w="0" w:type="dxa"/>
            <w:bottom w:w="0" w:type="dxa"/>
          </w:tblCellMar>
        </w:tblPrEx>
        <w:trPr>
          <w:cantSplit/>
          <w:trHeight w:val="560"/>
        </w:trPr>
        <w:tc>
          <w:tcPr>
            <w:tcW w:w="700" w:type="dxa"/>
            <w:tcMar>
              <w:top w:w="0" w:type="dxa"/>
              <w:bottom w:w="0" w:type="dxa"/>
            </w:tcMar>
            <w:vAlign w:val="center"/>
          </w:tcPr>
          <w:p w14:paraId="3C822E29" w14:textId="77777777" w:rsidR="00FA238F" w:rsidRDefault="00000000">
            <w:pPr>
              <w:keepNext/>
              <w:keepLines/>
              <w:spacing w:after="0" w:line="240" w:lineRule="auto"/>
            </w:pPr>
            <w:r>
              <w:rPr>
                <w:sz w:val="18"/>
              </w:rPr>
              <w:t>dio 25,26</w:t>
            </w:r>
          </w:p>
        </w:tc>
        <w:tc>
          <w:tcPr>
            <w:tcW w:w="3180" w:type="dxa"/>
            <w:tcMar>
              <w:top w:w="0" w:type="dxa"/>
              <w:bottom w:w="0" w:type="dxa"/>
            </w:tcMar>
            <w:vAlign w:val="center"/>
          </w:tcPr>
          <w:p w14:paraId="6931AC31" w14:textId="77777777" w:rsidR="00FA238F" w:rsidRDefault="00000000">
            <w:pPr>
              <w:keepNext/>
              <w:keepLines/>
              <w:spacing w:after="0" w:line="240" w:lineRule="auto"/>
            </w:pPr>
            <w:r>
              <w:rPr>
                <w:sz w:val="18"/>
              </w:rPr>
              <w:t>Obveze za financijsku imovinu</w:t>
            </w:r>
          </w:p>
        </w:tc>
        <w:tc>
          <w:tcPr>
            <w:tcW w:w="700" w:type="dxa"/>
            <w:tcMar>
              <w:top w:w="0" w:type="dxa"/>
              <w:bottom w:w="0" w:type="dxa"/>
            </w:tcMar>
            <w:vAlign w:val="center"/>
          </w:tcPr>
          <w:p w14:paraId="31A7B0B7" w14:textId="77777777" w:rsidR="00FA238F" w:rsidRDefault="00000000">
            <w:pPr>
              <w:keepNext/>
              <w:keepLines/>
              <w:spacing w:after="0" w:line="240" w:lineRule="auto"/>
            </w:pPr>
            <w:r>
              <w:rPr>
                <w:sz w:val="18"/>
              </w:rPr>
              <w:t>ND dio 25,26</w:t>
            </w:r>
          </w:p>
        </w:tc>
        <w:tc>
          <w:tcPr>
            <w:tcW w:w="1860" w:type="dxa"/>
            <w:tcMar>
              <w:top w:w="0" w:type="dxa"/>
              <w:bottom w:w="0" w:type="dxa"/>
            </w:tcMar>
            <w:vAlign w:val="center"/>
          </w:tcPr>
          <w:p w14:paraId="093318F4" w14:textId="77777777" w:rsidR="00FA238F" w:rsidRDefault="00000000">
            <w:pPr>
              <w:keepNext/>
              <w:keepLines/>
              <w:spacing w:after="0" w:line="240" w:lineRule="auto"/>
              <w:jc w:val="right"/>
            </w:pPr>
            <w:r>
              <w:rPr>
                <w:sz w:val="18"/>
              </w:rPr>
              <w:t>258.809,48</w:t>
            </w:r>
          </w:p>
        </w:tc>
        <w:tc>
          <w:tcPr>
            <w:tcW w:w="700" w:type="dxa"/>
            <w:tcMar>
              <w:top w:w="0" w:type="dxa"/>
              <w:bottom w:w="0" w:type="dxa"/>
            </w:tcMar>
            <w:vAlign w:val="center"/>
          </w:tcPr>
          <w:p w14:paraId="0850EC29" w14:textId="77777777" w:rsidR="00FA238F" w:rsidRDefault="00000000">
            <w:pPr>
              <w:keepNext/>
              <w:keepLines/>
              <w:spacing w:after="0" w:line="240" w:lineRule="auto"/>
              <w:jc w:val="right"/>
            </w:pPr>
            <w:r>
              <w:rPr>
                <w:sz w:val="18"/>
              </w:rPr>
              <w:t>-</w:t>
            </w:r>
          </w:p>
        </w:tc>
      </w:tr>
    </w:tbl>
    <w:p w14:paraId="17588BB8" w14:textId="77777777" w:rsidR="00FA238F" w:rsidRDefault="00FA238F">
      <w:pPr>
        <w:spacing w:after="0"/>
      </w:pPr>
    </w:p>
    <w:p w14:paraId="3AF4DCFF" w14:textId="77777777" w:rsidR="00FA238F" w:rsidRDefault="00000000">
      <w:pPr>
        <w:spacing w:line="240" w:lineRule="auto"/>
        <w:jc w:val="both"/>
      </w:pPr>
      <w:r>
        <w:t>Otplaćuje se u mjesečnim ratama kredit Hrvatske banke za obnovu i razvoj za energetsku obnovu Doma te ukupna obveza kredita iznosi 258.809,48 eura a završetak kredita je 31.12.2032. godine.</w:t>
      </w:r>
    </w:p>
    <w:p w14:paraId="5ECF0398" w14:textId="77777777" w:rsidR="00FA238F" w:rsidRDefault="00FA238F"/>
    <w:sectPr w:rsidR="00FA23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8F"/>
    <w:rsid w:val="000C74CF"/>
    <w:rsid w:val="004D50D8"/>
    <w:rsid w:val="00FA23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705C"/>
  <w15:docId w15:val="{1A250B2E-6E86-413B-A784-A226776D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2987</Words>
  <Characters>17026</Characters>
  <Application>Microsoft Office Word</Application>
  <DocSecurity>0</DocSecurity>
  <Lines>141</Lines>
  <Paragraphs>39</Paragraphs>
  <ScaleCrop>false</ScaleCrop>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Anamarija Pađan</dc:creator>
  <cp:lastModifiedBy>Anamarija Pađan</cp:lastModifiedBy>
  <cp:revision>2</cp:revision>
  <dcterms:created xsi:type="dcterms:W3CDTF">2025-07-10T13:56:00Z</dcterms:created>
  <dcterms:modified xsi:type="dcterms:W3CDTF">2025-07-10T13:56:00Z</dcterms:modified>
</cp:coreProperties>
</file>