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77e9935cb402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7552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DOM ZA STARIJE OSOBE BJELOVAR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1.486.315,21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1.535.092,97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1.523.049,74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1.423.605,40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111.487,57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56.731,01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91.764,80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55.201,01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91.764,80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166,2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17.253,96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17.253,96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17.253,96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17.253,96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2.468,81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Dom za starije osobe Bjelovar posluje u skladu sa Zakonom o proračunskom računovodstvu temeljem Pravilnika o izmjenqama i dopunama Pravilnika o proračunskom računovodstvu i računskom planu (NN 52/25), a financijske izvještaje sastavlja i predaje u skladu s odredbama Pravilnika o financijskom izvještavanju u proračunskom računovodstvu. U obrascu PR-RAS za izvještajno razdoblje od 01.01.2026. - 30.06.2026. ostvaren je višak prihoda nad rashodima u iznosu od 111.487,57 eur. Ukupni rashodi za nabavu nefinancijke imovine iznose 91.764,80 eur, a odnose se na nabavu postrojenja i opreme, medicinske opreme te dodatna ulaganja na ustanovi Doma poput ugradnje novog antenskog sustava. Rashodi za nabavu nefinancijske imovine većinom su veći s obzirom da prodaja imovine Doma nije učestala, a dodatna ulaganja u Dom su itetkako potrebita te su tako i rashodi povećani za navedeno. U izvještajnom razdoblju nije ostvaren primitak za financijsku imovinu, odnosno nije bilo novih zaduživanja. Ostvaren je izdatak za financijsku imovinu, odnosno otplaćuje se kredit za energetsku obnovu Doma te je podmireno 6 rata kredita u ukupnom iznosu od 17.253,96 eur kako i prethodne godine u istom razdoblju.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1.486.315,21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1.535.092,97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103,3</w:t>
            </w:r>
          </w:p>
        </w:tc>
      </w:tr>
    </w:tbl>
    <w:p>
      <w:pPr>
        <w:spacing w:before="0" w:after="0"/>
      </w:pPr>
    </w:p>
    <w:p>
      <w:r>
        <w:t xml:space="preserve">Ukupno prihodi poslovanja Doma za starije osobe Bjelovar ostvareni su u iznosu od 1.535.092,97 eur, a najvećim djelom odnose se na prihode od smještaja korisnika, prihode od kuhinje te pruženih usluga u obilku najma prostora Doma (najam prostora ljekarne, frizerskog salona, ugostiteljskog objekta i dr.). Drugi dio prihoda odnose se na prihode iz nadležnog proračuna za financiranje redovne djelatnosti Doma, a odnose se na doznačena sredstva Bjelovarsko-bilogorske županije te decentralizirana sredstva.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1.523.049,74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1.423.605,40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93,5</w:t>
            </w:r>
          </w:p>
        </w:tc>
      </w:tr>
    </w:tbl>
    <w:p>
      <w:pPr>
        <w:spacing w:before="0" w:after="0"/>
      </w:pPr>
    </w:p>
    <w:p>
      <w:r>
        <w:t xml:space="preserve">Ukupni rashodi poslovanja iznose 1.423.605,40 eur, a najvećim djelom se odnose na rashode za zaposlene (plaće zaposlenika, doprinosa i ostalih naknada), materijalni rashodi koji su po veličini odmah nakon rashoda za zaposlene, a odnose se na rashode za materijal (uredski, materijal za čišćenje i održavanje, namirnice, el. energija, plin, voda i drugi rashodi za usluge). Ostvareni su i financijski rashodi koji se odnose na plaćanje kamate za primljeni kredit kod HBOR-a namijenjen za eneregtsku obnovu Doma, te ostali rashodi poput naknada, osiguranja i dr.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1.165.595,25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1.038.799,92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89,1</w:t>
            </w:r>
          </w:p>
        </w:tc>
      </w:tr>
    </w:tbl>
    <w:p>
      <w:pPr>
        <w:spacing w:before="0" w:after="0"/>
      </w:pPr>
    </w:p>
    <w:p>
      <w:r>
        <w:t xml:space="preserve">Rashodi za zaposlene ujedno i najveći ostvareni rashodi, a odnose se na plaće zaposlenih, doprinose i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352.605,27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380.477,70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107,9</w:t>
            </w:r>
          </w:p>
        </w:tc>
      </w:tr>
    </w:tbl>
    <w:p>
      <w:pPr>
        <w:spacing w:before="0" w:after="0"/>
      </w:pPr>
    </w:p>
    <w:p>
      <w:r>
        <w:t xml:space="preserve">Materijalni rashodi koji su po veličini odmah iza rashoda za zaposlene, a čine ih rashodi za materijal i neregiju, plin, el.energiju, struju, kom.usluge te druge usluge, materijal i sredstva za održavanja, namirnice, službena i radna odjeća za zaposlene, naknade za zaposlene za prijevoz, za stručna usavršavanja i sl., intelektulane usluge te zdravstvene usluge za zaposlene.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3.147,38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2.925,04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92,9</w:t>
            </w:r>
          </w:p>
        </w:tc>
      </w:tr>
    </w:tbl>
    <w:p>
      <w:pPr>
        <w:spacing w:before="0" w:after="0"/>
      </w:pPr>
    </w:p>
    <w:p>
      <w:r>
        <w:t xml:space="preserve">Financijski rashod u iznosu od  2.925,04 eur odnosi se na kamate za primljene kredite kod banke te na redovite bankarske usluge i platni promet,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1.701,84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1.402,74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82,4</w:t>
            </w:r>
          </w:p>
        </w:tc>
      </w:tr>
    </w:tbl>
    <w:p>
      <w:pPr>
        <w:spacing w:before="0" w:after="0"/>
      </w:pPr>
    </w:p>
    <w:p>
      <w:r>
        <w:t xml:space="preserve">Naknade građanima i kućanstvima odnose se na korisnike koji su pod pomoći socijalne skrbi te su za njih osigurani đeparci kao sredstva za vlastite potrebe.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navedenom izvještajnom razdoblju nije bilo prodaje imovine Doma, te se nije ostvario prihod od nefinancijske imovine.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56.731,01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91.764,80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161,8</w:t>
            </w:r>
          </w:p>
        </w:tc>
      </w:tr>
    </w:tbl>
    <w:p>
      <w:pPr>
        <w:spacing w:before="0" w:after="0"/>
      </w:pPr>
    </w:p>
    <w:p>
      <w:r>
        <w:t xml:space="preserve">Rashodi za nabavu nefinancijske imovine ostvareni su u iznosu do 91.764,80 eur, a odnose se na nabavu opreme poput ormara, regala, noćnih ormarića za korisnike te medicinsku opremu poput stolići za hranjenje, kreveti, med.kolica. Rashodi se odnose i na dodatna ulaganja na nefinancijskoj imovini odnosno ulaganja u imovinu Doma redovitim održavanjem zgrade, postrojenja i opreme. U navdenom izvještajnom razdoblju dodatno se uložilo u kompletni novi antenski sustav zbog dotrajalosti starog.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17.253,96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17.253,96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Financijski rashod odnosi se na otplatu 6 rata dugoročnog kredita za energetsku obnovu Doma otvorenog kod Hrvatske banke za obnovu i razvoj na vremenski perido od 10 godina. Kredit se redovito otplaćuje u mjesečnim ratama.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nije bilo dospijelih neplaćenih obveza. Sve su obveze podmirene prema roku dospijeća.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272.964,86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u navedenom iznosu odnose se na rashode za zaposlene i honorare (UV i doktor) za plaće, jubilarne i naknade ostvarene za rad u lipnju, s dospijećem u srpnju, kada će navedene obveze biti i podmirene. Dio obveza na poziciji 23 odnosi se na nedospijele obveze dobavljača.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4.595,14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Nabavljena je nefinancijska imovina koja se odnosi na opremu, onosno noćne ormariće za korinike, te dodatna ulaganja na ustanovi Doma, odnosno krećenje prostorije Doma, sobe korisnika i blagovaonice te će navedeno biti podmireno iz decentraliziranih sredstava tokom srpnja.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224.301,56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Navedeno se odnosi na redovito otplaćivanje dugoročnog kredita kod  Hrvatske banke za obnovu i razvoj u mjesečnim ratama, a ukupna obveza kredita iznosi 224.301,56 eur, a završetak kredita je 31.12.2032.god. Kredit  se odnosi na energetsku obnovu Doma.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28df0fb618412c" /></Relationships>
</file>