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11E71" w14:paraId="3CB2283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979D51B" w14:textId="77777777" w:rsidR="00911E71" w:rsidRDefault="00EA1FC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1F12F59" w14:textId="77777777" w:rsidR="00911E71" w:rsidRDefault="00EA1FC3">
            <w:pPr>
              <w:spacing w:after="0" w:line="240" w:lineRule="auto"/>
            </w:pPr>
            <w:r>
              <w:t>7552</w:t>
            </w:r>
          </w:p>
        </w:tc>
      </w:tr>
      <w:tr w:rsidR="00911E71" w14:paraId="141622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BCEF37" w14:textId="77777777" w:rsidR="00911E71" w:rsidRDefault="00EA1FC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031DDC9" w14:textId="77777777" w:rsidR="00911E71" w:rsidRDefault="00EA1FC3">
            <w:pPr>
              <w:spacing w:after="0" w:line="240" w:lineRule="auto"/>
            </w:pPr>
            <w:r>
              <w:t>DOM ZA STARIJE OSOBE BJELOVAR</w:t>
            </w:r>
          </w:p>
        </w:tc>
      </w:tr>
      <w:tr w:rsidR="00911E71" w14:paraId="52A44F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34FCC9" w14:textId="77777777" w:rsidR="00911E71" w:rsidRDefault="00EA1FC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BD26CC9" w14:textId="77777777" w:rsidR="00911E71" w:rsidRDefault="00EA1FC3">
            <w:pPr>
              <w:spacing w:after="0" w:line="240" w:lineRule="auto"/>
            </w:pPr>
            <w:r>
              <w:t>31</w:t>
            </w:r>
          </w:p>
        </w:tc>
      </w:tr>
    </w:tbl>
    <w:p w14:paraId="047DA05B" w14:textId="77777777" w:rsidR="00911E71" w:rsidRDefault="00EA1FC3">
      <w:r>
        <w:br/>
      </w:r>
    </w:p>
    <w:p w14:paraId="627D68F8" w14:textId="77777777" w:rsidR="00911E71" w:rsidRDefault="00EA1FC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030EEDB" w14:textId="77777777" w:rsidR="00911E71" w:rsidRDefault="00EA1FC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47E53A" w14:textId="77777777" w:rsidR="00911E71" w:rsidRDefault="00EA1FC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131DF94" w14:textId="77777777" w:rsidR="00911E71" w:rsidRDefault="00911E71"/>
    <w:p w14:paraId="415AFC38" w14:textId="77777777" w:rsidR="00911E71" w:rsidRDefault="00EA1FC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A8AC6CF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0878B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E49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261B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ACD6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66C7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BE3BA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2FF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77444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498F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D546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D073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A50C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2.738.029,94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99192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3.238.590,02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27F8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911E71" w14:paraId="15D4CB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5CED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D751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28CF0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59DE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2.557.053,11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71157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2.931.836,25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1047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911E71" w14:paraId="6F9137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A71E1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F7D6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9FEBC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E158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180.976,83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C41AA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306.753,77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FBD61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169,5</w:t>
            </w:r>
          </w:p>
        </w:tc>
      </w:tr>
      <w:tr w:rsidR="00911E71" w14:paraId="42B10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0B1D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3A3E0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2C49C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D4E4B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160D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E2BBF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E71" w14:paraId="504423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B5BDA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F8067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DD0D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10D9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133.641,93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312A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275.371,04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F5E5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  <w:tr w:rsidR="00911E71" w14:paraId="6D791B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30487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71892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89741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F87E2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133.641,93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CB8E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273.096,04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E3A8D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204,3</w:t>
            </w:r>
          </w:p>
        </w:tc>
      </w:tr>
      <w:tr w:rsidR="00911E71" w14:paraId="50B31A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A572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5DB128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2246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B20DD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8A6E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71BD3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E71" w14:paraId="4811F2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B032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538CC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0E272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C156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D7F5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AD033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911E71" w14:paraId="32F58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C2D69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702EA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7A8E4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7238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34.507,92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A8659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34.507,92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0E6DD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911E71" w14:paraId="15029E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574BE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C49F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EFB6C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044E2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F8C7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C562C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08AE112" w14:textId="77777777" w:rsidR="00911E71" w:rsidRDefault="00911E71">
      <w:pPr>
        <w:spacing w:after="0"/>
      </w:pPr>
    </w:p>
    <w:p w14:paraId="0AE93DB1" w14:textId="77777777" w:rsidR="00911E71" w:rsidRDefault="00EA1FC3">
      <w:r>
        <w:t xml:space="preserve">Dom za starije osobe Bjelovar u periodu od 01.01.2025. - 31.12.2025. ostvario je prihode u iznosu od 3.238.590,02 </w:t>
      </w:r>
      <w:proofErr w:type="spellStart"/>
      <w:r>
        <w:t>eur</w:t>
      </w:r>
      <w:proofErr w:type="spellEnd"/>
      <w:r>
        <w:t xml:space="preserve">, a ukupni rashodi poslovanja iznose 2.931.836,25 </w:t>
      </w:r>
      <w:proofErr w:type="spellStart"/>
      <w:r>
        <w:t>eur</w:t>
      </w:r>
      <w:proofErr w:type="spellEnd"/>
      <w:r>
        <w:t xml:space="preserve">. U odnosu na prošlu godinu ukupni prihodi bilježe rast od 11,83%. Ukupni rashodi za 2025.godinu iznose 2.931.836,25 </w:t>
      </w:r>
      <w:proofErr w:type="spellStart"/>
      <w:r>
        <w:t>eur</w:t>
      </w:r>
      <w:proofErr w:type="spellEnd"/>
      <w:r>
        <w:t xml:space="preserve"> što u odnosu na prošlu godinu bilježi rast od 11,47 %.</w:t>
      </w:r>
    </w:p>
    <w:p w14:paraId="30F07416" w14:textId="77777777" w:rsidR="00911E71" w:rsidRDefault="00EA1FC3">
      <w:proofErr w:type="spellStart"/>
      <w:r>
        <w:lastRenderedPageBreak/>
        <w:t>Prenesim</w:t>
      </w:r>
      <w:proofErr w:type="spellEnd"/>
      <w:r>
        <w:t xml:space="preserve"> manjkom prihoda i primitaka poslovanja prethodne godine u iznosu od 98.532,40 </w:t>
      </w:r>
      <w:proofErr w:type="spellStart"/>
      <w:r>
        <w:t>eur</w:t>
      </w:r>
      <w:proofErr w:type="spellEnd"/>
      <w:r>
        <w:t xml:space="preserve"> i manjkom ove godine ukupno čine iznos manjak prihoda i primitaka za pokriće slijedećeg razdoblja u iznosu od 101.613,75 </w:t>
      </w:r>
      <w:proofErr w:type="spellStart"/>
      <w:r>
        <w:t>eur</w:t>
      </w:r>
      <w:proofErr w:type="spellEnd"/>
      <w:r>
        <w:t>.</w:t>
      </w:r>
    </w:p>
    <w:p w14:paraId="13A24018" w14:textId="77777777" w:rsidR="00911E71" w:rsidRDefault="00EA1FC3">
      <w:r>
        <w:br/>
      </w:r>
    </w:p>
    <w:p w14:paraId="528192DD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4C4739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C0053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55A67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9EAA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AC15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8B9F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326D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3E62A5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C03F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06F4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99CC8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0820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8B9BB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29.447,31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A1273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697837B9" w14:textId="77777777" w:rsidR="00911E71" w:rsidRDefault="00911E71">
      <w:pPr>
        <w:spacing w:after="0"/>
      </w:pPr>
    </w:p>
    <w:p w14:paraId="43FE9D2F" w14:textId="77777777" w:rsidR="00911E71" w:rsidRDefault="00EA1FC3">
      <w:r>
        <w:t xml:space="preserve">Skupina konta 63 iznosi 29.447,31 </w:t>
      </w:r>
      <w:proofErr w:type="spellStart"/>
      <w:r>
        <w:t>eur</w:t>
      </w:r>
      <w:proofErr w:type="spellEnd"/>
      <w:r>
        <w:t xml:space="preserve">, a odnosi se na zaprimanje financijskih sredstava za djelatnicu preko javnih radova kojoj Ugovor vrijedi do 03.2026.god., te dobiveni </w:t>
      </w:r>
      <w:proofErr w:type="spellStart"/>
      <w:r>
        <w:t>voucheri</w:t>
      </w:r>
      <w:proofErr w:type="spellEnd"/>
      <w:r>
        <w:t xml:space="preserve"> za plin koji za 12 mjeseci iznose 6.480,00 </w:t>
      </w:r>
      <w:proofErr w:type="spellStart"/>
      <w:r>
        <w:t>eur</w:t>
      </w:r>
      <w:proofErr w:type="spellEnd"/>
      <w:r>
        <w:t xml:space="preserve">, te kapitalna pomoć od 12.450,00 </w:t>
      </w:r>
      <w:proofErr w:type="spellStart"/>
      <w:r>
        <w:t>eur</w:t>
      </w:r>
      <w:proofErr w:type="spellEnd"/>
      <w:r>
        <w:t xml:space="preserve"> za stroj za biootpad.</w:t>
      </w:r>
    </w:p>
    <w:p w14:paraId="19E0D9E9" w14:textId="77777777" w:rsidR="00911E71" w:rsidRDefault="00911E71"/>
    <w:p w14:paraId="62147E35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0EFA9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AAAC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70B0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F113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4469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5FAE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86D0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628C49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17D34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D008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AA75D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396F0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1.746.755,31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274A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1.959.110,81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1905F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3AE6EE6B" w14:textId="77777777" w:rsidR="00911E71" w:rsidRDefault="00911E71">
      <w:pPr>
        <w:spacing w:after="0"/>
      </w:pPr>
    </w:p>
    <w:p w14:paraId="48555351" w14:textId="77777777" w:rsidR="00911E71" w:rsidRDefault="00EA1FC3">
      <w:r>
        <w:t xml:space="preserve">Skupina konta 65 se odnosi na </w:t>
      </w:r>
      <w:proofErr w:type="spellStart"/>
      <w:r>
        <w:t>obskrbnine</w:t>
      </w:r>
      <w:proofErr w:type="spellEnd"/>
      <w:r>
        <w:t xml:space="preserve"> naših korisnika smještaja, prihodi od dodatnih usluga (kuhinja i sl.) U odnosu na prošlu godinu </w:t>
      </w:r>
      <w:proofErr w:type="spellStart"/>
      <w:r>
        <w:t>tjekom</w:t>
      </w:r>
      <w:proofErr w:type="spellEnd"/>
      <w:r>
        <w:t xml:space="preserve"> 2025.godine naplaćeno je osiguranje za izvršene radove na Domu za starije osobe Bjelovar. </w:t>
      </w:r>
    </w:p>
    <w:p w14:paraId="0C6A191B" w14:textId="77777777" w:rsidR="00911E71" w:rsidRDefault="00911E71"/>
    <w:p w14:paraId="5D51C9A5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74F73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1988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662B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5EC3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486E7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7FBE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67D7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015639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86731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BA8A2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0FC8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5CC2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51.447,00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58B3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33.867,99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BC7A1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14:paraId="63F98CD8" w14:textId="77777777" w:rsidR="00911E71" w:rsidRDefault="00911E71">
      <w:pPr>
        <w:spacing w:after="0"/>
      </w:pPr>
    </w:p>
    <w:p w14:paraId="779D2072" w14:textId="77777777" w:rsidR="00911E71" w:rsidRDefault="00EA1FC3">
      <w:r>
        <w:t xml:space="preserve">Skupina konta 66 odnose se na prihode od zakupa poslovnih prostora u vlasništvu Doma za starije osobe Bjelovar. Razlog smanjenja prihoda u 2025. </w:t>
      </w:r>
      <w:proofErr w:type="spellStart"/>
      <w:r>
        <w:t>god.neplaćanje</w:t>
      </w:r>
      <w:proofErr w:type="spellEnd"/>
      <w:r>
        <w:t xml:space="preserve"> jednog korisnika poslovnog prostora.</w:t>
      </w:r>
    </w:p>
    <w:p w14:paraId="61F2A2E2" w14:textId="77777777" w:rsidR="00911E71" w:rsidRDefault="00911E71"/>
    <w:p w14:paraId="345FA07A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17319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C432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4EE3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724A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5A10A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FC0F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AB6C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30FAA9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809C5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1BA39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F5CE0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ADDBC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914.414,60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93F6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1.216.163,91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21E8B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14:paraId="1B3E54B5" w14:textId="77777777" w:rsidR="00911E71" w:rsidRDefault="00911E71">
      <w:pPr>
        <w:spacing w:after="0"/>
      </w:pPr>
    </w:p>
    <w:p w14:paraId="414453C8" w14:textId="77777777" w:rsidR="00911E71" w:rsidRDefault="00EA1FC3">
      <w:r>
        <w:t>Skupina konta 67 odnose se na doznačena sredstva pomoći osnivača Bjelovarsko-</w:t>
      </w:r>
      <w:proofErr w:type="spellStart"/>
      <w:r>
        <w:t>bilogosrke</w:t>
      </w:r>
      <w:proofErr w:type="spellEnd"/>
      <w:r>
        <w:t xml:space="preserve"> županije 442.026,74 </w:t>
      </w:r>
      <w:proofErr w:type="spellStart"/>
      <w:r>
        <w:t>eur</w:t>
      </w:r>
      <w:proofErr w:type="spellEnd"/>
      <w:r>
        <w:t xml:space="preserve">. Ovdje pripadaju i </w:t>
      </w:r>
      <w:proofErr w:type="spellStart"/>
      <w:r>
        <w:t>decentarlizirana</w:t>
      </w:r>
      <w:proofErr w:type="spellEnd"/>
      <w:r>
        <w:t xml:space="preserve"> sredstva u iznosu od 774.137,17 </w:t>
      </w:r>
      <w:proofErr w:type="spellStart"/>
      <w:r>
        <w:t>eur</w:t>
      </w:r>
      <w:proofErr w:type="spellEnd"/>
      <w:r>
        <w:t>.</w:t>
      </w:r>
    </w:p>
    <w:p w14:paraId="754F0A0D" w14:textId="77777777" w:rsidR="00911E71" w:rsidRDefault="00911E71"/>
    <w:p w14:paraId="7441923A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410D3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39E8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46FD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34EB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EAFF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29F5A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8381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24CDA9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A81D5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039602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E8518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4D6AA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1.848.990,63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C15A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2.183.992,03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7254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14:paraId="00DD068B" w14:textId="77777777" w:rsidR="00911E71" w:rsidRDefault="00911E71">
      <w:pPr>
        <w:spacing w:after="0"/>
      </w:pPr>
    </w:p>
    <w:p w14:paraId="3A50A989" w14:textId="77777777" w:rsidR="00911E71" w:rsidRDefault="00EA1FC3">
      <w:r>
        <w:t>Skupina konta 31 - do povećanja rashoda je došlo zbog povećanja osnovice plaće u dva navrata.</w:t>
      </w:r>
    </w:p>
    <w:p w14:paraId="4384B899" w14:textId="77777777" w:rsidR="00911E71" w:rsidRDefault="00911E71"/>
    <w:p w14:paraId="55AAA3FE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6CDDC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21C0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B00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1D51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83B6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ACD49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2233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1778C4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AF47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1D1B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690A7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81B3A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696.762,52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961A1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738.744,38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323F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14:paraId="0F194A0A" w14:textId="77777777" w:rsidR="00911E71" w:rsidRDefault="00911E71">
      <w:pPr>
        <w:spacing w:after="0"/>
      </w:pPr>
    </w:p>
    <w:p w14:paraId="583A1BED" w14:textId="77777777" w:rsidR="00911E71" w:rsidRDefault="00EA1FC3">
      <w:r>
        <w:t>Skupina konta 32 - Materijalne rashode možemo povećati s povećanjem cijena na tržištu, odnosno inflacijom za materijal i energiju.</w:t>
      </w:r>
    </w:p>
    <w:p w14:paraId="484E3913" w14:textId="77777777" w:rsidR="00911E71" w:rsidRDefault="00911E71"/>
    <w:p w14:paraId="7BF06FE8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3FBF3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20799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A5D3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6B84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88FE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654E9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4320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46E3AF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4EB0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98932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0FD3C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FB7DF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DAE0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11.352,91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9BEA6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1211,6</w:t>
            </w:r>
          </w:p>
        </w:tc>
      </w:tr>
    </w:tbl>
    <w:p w14:paraId="27BFBA9A" w14:textId="77777777" w:rsidR="00911E71" w:rsidRDefault="00911E71">
      <w:pPr>
        <w:spacing w:after="0"/>
      </w:pPr>
    </w:p>
    <w:p w14:paraId="01666BDC" w14:textId="77777777" w:rsidR="00911E71" w:rsidRDefault="00EA1FC3">
      <w:r>
        <w:t xml:space="preserve">Tijekom 2025.godine došlo je do povećanja rashoda zbog ispitivanja </w:t>
      </w:r>
      <w:proofErr w:type="spellStart"/>
      <w:r>
        <w:t>legionele</w:t>
      </w:r>
      <w:proofErr w:type="spellEnd"/>
      <w:r>
        <w:t>, osiguranja, geodetskih ispitivanja i analiza.</w:t>
      </w:r>
    </w:p>
    <w:p w14:paraId="51447617" w14:textId="77777777" w:rsidR="00911E71" w:rsidRDefault="00911E71"/>
    <w:p w14:paraId="4A733FC6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1D293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2780E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484D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9A24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218D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EB9C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AFBC4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034B34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AA62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4EE1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F1D50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42C9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EEB2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118A4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24C1DA" w14:textId="77777777" w:rsidR="00911E71" w:rsidRDefault="00911E71">
      <w:pPr>
        <w:spacing w:after="0"/>
      </w:pPr>
    </w:p>
    <w:p w14:paraId="582DC1E1" w14:textId="77777777" w:rsidR="00911E71" w:rsidRDefault="00EA1FC3">
      <w:r>
        <w:t>Skupina konta 7 - odnosi se na prodaju prijevoznog sredstva te prodaju opreme.</w:t>
      </w:r>
    </w:p>
    <w:p w14:paraId="6E73C50E" w14:textId="77777777" w:rsidR="00911E71" w:rsidRDefault="00911E71"/>
    <w:p w14:paraId="6A5B8EA3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20933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FA6D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3011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C980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04C5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E31C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8564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1B183A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16B6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27AF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4AED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589FC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133.641,93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B74BE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275.371,04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81F3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</w:tbl>
    <w:p w14:paraId="0B95415D" w14:textId="77777777" w:rsidR="00911E71" w:rsidRDefault="00911E71">
      <w:pPr>
        <w:spacing w:after="0"/>
      </w:pPr>
    </w:p>
    <w:p w14:paraId="77F953AA" w14:textId="77777777" w:rsidR="00911E71" w:rsidRDefault="00EA1FC3">
      <w:r>
        <w:t xml:space="preserve">Skupina konta 4 odnosi se na nabavu nefinancijske imovine, jedan dio se odnosi na nabavu uredske i medicinske opreme u uređaja, a drugi dio na </w:t>
      </w:r>
      <w:proofErr w:type="spellStart"/>
      <w:r>
        <w:t>dosatna</w:t>
      </w:r>
      <w:proofErr w:type="spellEnd"/>
      <w:r>
        <w:t xml:space="preserve"> ulaganja na objekt Doma sustav vatrodojave tvrtke Servis  Cerović u iznosu od 187.285,00 </w:t>
      </w:r>
      <w:proofErr w:type="spellStart"/>
      <w:r>
        <w:t>eur</w:t>
      </w:r>
      <w:proofErr w:type="spellEnd"/>
      <w:r>
        <w:t>. </w:t>
      </w:r>
    </w:p>
    <w:p w14:paraId="330B9A84" w14:textId="77777777" w:rsidR="00911E71" w:rsidRDefault="00911E71"/>
    <w:p w14:paraId="5F339A3C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286A1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0D94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D08D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9A80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EFE5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F15B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0A80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7898EB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430A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B14DD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C43D8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37BFA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45.332,05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7FCBC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234.695,53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7AD1D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517,7</w:t>
            </w:r>
          </w:p>
        </w:tc>
      </w:tr>
    </w:tbl>
    <w:p w14:paraId="1D9EE9DE" w14:textId="77777777" w:rsidR="00911E71" w:rsidRDefault="00911E71">
      <w:pPr>
        <w:spacing w:after="0"/>
      </w:pPr>
    </w:p>
    <w:p w14:paraId="747EB83F" w14:textId="77777777" w:rsidR="00911E71" w:rsidRDefault="00EA1FC3">
      <w:r>
        <w:t>Ulaganje na objekt Doma ugradnjom vatrodojave tvrtke Servis Cerović.</w:t>
      </w:r>
    </w:p>
    <w:p w14:paraId="3C6F377B" w14:textId="77777777" w:rsidR="00911E71" w:rsidRDefault="00911E71"/>
    <w:p w14:paraId="11B0476C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18B19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0B6A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B016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187C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21849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A774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E683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7359F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F497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21D11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1EFE9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DBC93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821DB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788DB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DB8EEFD" w14:textId="77777777" w:rsidR="00911E71" w:rsidRDefault="00911E71">
      <w:pPr>
        <w:spacing w:after="0"/>
      </w:pPr>
    </w:p>
    <w:p w14:paraId="1AB5503B" w14:textId="77777777" w:rsidR="00911E71" w:rsidRDefault="00EA1FC3">
      <w:proofErr w:type="spellStart"/>
      <w:r>
        <w:t>Finacisjki</w:t>
      </w:r>
      <w:proofErr w:type="spellEnd"/>
      <w:r>
        <w:t xml:space="preserve"> izdaci čine iznos otplate kredita kod HBOR-a za otplaćenu glavnicu u iznosu od 34.507,92 </w:t>
      </w:r>
      <w:proofErr w:type="spellStart"/>
      <w:r>
        <w:t>eur</w:t>
      </w:r>
      <w:proofErr w:type="spellEnd"/>
    </w:p>
    <w:p w14:paraId="38D3A5A0" w14:textId="77777777" w:rsidR="00911E71" w:rsidRDefault="00911E71"/>
    <w:p w14:paraId="2A85BBD3" w14:textId="77777777" w:rsidR="00911E71" w:rsidRDefault="00EA1FC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6783592E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50F588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1726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1D3B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2DA55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ECF17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B6187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9260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3297A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FB747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A71E66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5EF6B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EB6D5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5.969.216,77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8F6D9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5.583.800,68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2CB22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14:paraId="7F8F80D1" w14:textId="77777777" w:rsidR="00911E71" w:rsidRDefault="00911E71">
      <w:pPr>
        <w:spacing w:after="0"/>
      </w:pPr>
    </w:p>
    <w:p w14:paraId="3F4DC218" w14:textId="77777777" w:rsidR="00911E71" w:rsidRDefault="00EA1FC3">
      <w:r>
        <w:t xml:space="preserve">Imovina u 2025.god.iznosi 5.431.261,69 </w:t>
      </w:r>
      <w:proofErr w:type="spellStart"/>
      <w:r>
        <w:t>eur</w:t>
      </w:r>
      <w:proofErr w:type="spellEnd"/>
      <w:r>
        <w:t xml:space="preserve"> te je manja u odnosu na prošlu godinu. Ulaganje u dugotrajnu </w:t>
      </w:r>
      <w:proofErr w:type="spellStart"/>
      <w:r>
        <w:t>nefinacijsku</w:t>
      </w:r>
      <w:proofErr w:type="spellEnd"/>
      <w:r>
        <w:t xml:space="preserve"> imovinu ulagalo se za hitne intervencije u iznosu od 19.908,00 </w:t>
      </w:r>
      <w:proofErr w:type="spellStart"/>
      <w:r>
        <w:t>eur</w:t>
      </w:r>
      <w:proofErr w:type="spellEnd"/>
      <w:r>
        <w:t xml:space="preserve"> te decentralizirana sredstva u iznosu od 66.859,00 </w:t>
      </w:r>
      <w:proofErr w:type="spellStart"/>
      <w:r>
        <w:t>eur</w:t>
      </w:r>
      <w:proofErr w:type="spellEnd"/>
      <w:r>
        <w:t xml:space="preserve"> i donacije 2.350,95 </w:t>
      </w:r>
      <w:proofErr w:type="spellStart"/>
      <w:r>
        <w:t>eur</w:t>
      </w:r>
      <w:proofErr w:type="spellEnd"/>
      <w:r>
        <w:t xml:space="preserve">. Na sitnom inventaru nakon otpisa dotrajale radne odjeće i obuće nabavila se nova u iznosu od 4.720,16 </w:t>
      </w:r>
      <w:proofErr w:type="spellStart"/>
      <w:r>
        <w:t>eur</w:t>
      </w:r>
      <w:proofErr w:type="spellEnd"/>
      <w:r>
        <w:t xml:space="preserve">. Nakon provedene </w:t>
      </w:r>
      <w:proofErr w:type="spellStart"/>
      <w:r>
        <w:t>invnture</w:t>
      </w:r>
      <w:proofErr w:type="spellEnd"/>
      <w:r>
        <w:t xml:space="preserve"> imali smo rashodovanje opreme, traktorske kosilice, automobila te računalne opreme zbog dotrajalosti i neupotrebljivosti za daljnji rad.</w:t>
      </w:r>
    </w:p>
    <w:p w14:paraId="251BE96A" w14:textId="77777777" w:rsidR="00911E71" w:rsidRDefault="00911E71"/>
    <w:p w14:paraId="3AD6410E" w14:textId="77777777" w:rsidR="00911E71" w:rsidRDefault="00EA1FC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88A7CBE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E71" w14:paraId="59D19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069E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AA2F2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9FF51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4CBBA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85770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F5EB8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6773A7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AC46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EB10F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B8B61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ED6B0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23.989,59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EFE98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9F332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AE10CF0" w14:textId="77777777" w:rsidR="00911E71" w:rsidRDefault="00911E71">
      <w:pPr>
        <w:spacing w:after="0"/>
      </w:pPr>
    </w:p>
    <w:p w14:paraId="06BA37BF" w14:textId="77777777" w:rsidR="00911E71" w:rsidRDefault="00EA1FC3">
      <w:r>
        <w:t xml:space="preserve">U 2025.godini došlo je do povećanja proizvedene dugotrajne imovine u iznosu od 23.989,59 </w:t>
      </w:r>
      <w:proofErr w:type="spellStart"/>
      <w:r>
        <w:t>eur</w:t>
      </w:r>
      <w:proofErr w:type="spellEnd"/>
      <w:r>
        <w:t>. Radi se donaciji automobila Ford od Bjelovarsko-bilogorske županije.</w:t>
      </w:r>
    </w:p>
    <w:p w14:paraId="30F944B9" w14:textId="77777777" w:rsidR="00911E71" w:rsidRDefault="00911E71"/>
    <w:p w14:paraId="65CE38BC" w14:textId="77777777" w:rsidR="00911E71" w:rsidRDefault="00EA1FC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36361BC" w14:textId="77777777" w:rsidR="00911E71" w:rsidRDefault="00EA1FC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1E71" w14:paraId="4D16B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9302F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A281C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17404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C9FFB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25AEA" w14:textId="77777777" w:rsidR="00911E71" w:rsidRDefault="00EA1FC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E71" w14:paraId="32D76D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9DF53" w14:textId="77777777" w:rsidR="00911E71" w:rsidRDefault="00911E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96A83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80B10" w14:textId="77777777" w:rsidR="00911E71" w:rsidRDefault="00EA1FC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D5F2C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8E649" w14:textId="77777777" w:rsidR="00911E71" w:rsidRDefault="00EA1FC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8D4EC2" w14:textId="77777777" w:rsidR="00911E71" w:rsidRDefault="00911E71">
      <w:pPr>
        <w:spacing w:after="0"/>
      </w:pPr>
    </w:p>
    <w:p w14:paraId="01131464" w14:textId="77777777" w:rsidR="00911E71" w:rsidRDefault="00EA1FC3">
      <w:r>
        <w:t xml:space="preserve">Dom za starije osobe Bjelovar na dan 31.12.2025. nema dospjelih obveza.  Nedospjele obveze odnose se na obveze za zaposlene (plaća za 12.mj.), obveze za materijalne rashode, obveze za financijske rashode i ostale tekuće obveze, u ukupnom iznosu 241.296,48 </w:t>
      </w:r>
      <w:proofErr w:type="spellStart"/>
      <w:r>
        <w:t>eur</w:t>
      </w:r>
      <w:proofErr w:type="spellEnd"/>
      <w:r>
        <w:t xml:space="preserve">. Obveze za financijsku imovinu odnosi se na kredit  kod banke HBOR u iznosu 241.555,52 </w:t>
      </w:r>
      <w:proofErr w:type="spellStart"/>
      <w:r>
        <w:t>eur</w:t>
      </w:r>
      <w:proofErr w:type="spellEnd"/>
      <w:r>
        <w:t>. </w:t>
      </w:r>
    </w:p>
    <w:p w14:paraId="5401DE60" w14:textId="77777777" w:rsidR="00911E71" w:rsidRDefault="00911E71"/>
    <w:sectPr w:rsidR="0091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1"/>
    <w:rsid w:val="00097C61"/>
    <w:rsid w:val="008F6139"/>
    <w:rsid w:val="00911E71"/>
    <w:rsid w:val="00E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9B1"/>
  <w15:docId w15:val="{40314CF6-B140-406C-869C-4686B45C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Hadžić</dc:creator>
  <cp:lastModifiedBy>Petra Hadžić</cp:lastModifiedBy>
  <cp:revision>2</cp:revision>
  <dcterms:created xsi:type="dcterms:W3CDTF">2026-02-06T10:09:00Z</dcterms:created>
  <dcterms:modified xsi:type="dcterms:W3CDTF">2026-02-06T10:09:00Z</dcterms:modified>
</cp:coreProperties>
</file>